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Le sujet comme un A/autre.</w:t>
      </w:r>
    </w:p>
    <w:p>
      <w:pPr>
        <w:pStyle w:val="Corps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minaire II.</w:t>
      </w:r>
    </w:p>
    <w:p>
      <w:pPr>
        <w:pStyle w:val="Corps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2022/23.</w:t>
      </w:r>
    </w:p>
    <w:p>
      <w:pPr>
        <w:pStyle w:val="Corps"/>
        <w:jc w:val="center"/>
        <w:rPr>
          <w:sz w:val="28"/>
          <w:szCs w:val="28"/>
        </w:rPr>
      </w:pPr>
    </w:p>
    <w:p>
      <w:pPr>
        <w:pStyle w:val="Corps"/>
        <w:jc w:val="center"/>
        <w:rPr>
          <w:sz w:val="28"/>
          <w:szCs w:val="28"/>
        </w:rPr>
      </w:pPr>
    </w:p>
    <w:p>
      <w:pPr>
        <w:pStyle w:val="Corps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Nous reprenons le titre de notre 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dente intervention avec deux modifications. Il ne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agit plus du moi mais du sujet, et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A/autre s</w:t>
      </w:r>
      <w:r>
        <w:rPr>
          <w:sz w:val="28"/>
          <w:szCs w:val="28"/>
          <w:rtl w:val="0"/>
          <w:lang w:val="fr-FR"/>
        </w:rPr>
        <w:t>’é</w:t>
      </w:r>
      <w:r>
        <w:rPr>
          <w:sz w:val="28"/>
          <w:szCs w:val="28"/>
          <w:rtl w:val="0"/>
          <w:lang w:val="fr-FR"/>
        </w:rPr>
        <w:t>crit avec un A et un a, afin de renvoyer au titre du th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me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ann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e. En effet, lors du premier 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minaire, nous avons abord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la question du moi et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autre , du semblable, </w:t>
      </w:r>
      <w:r>
        <w:rPr>
          <w:sz w:val="28"/>
          <w:szCs w:val="28"/>
          <w:rtl w:val="0"/>
          <w:lang w:val="fr-FR"/>
        </w:rPr>
        <w:t>essentiellement</w:t>
      </w:r>
      <w:r>
        <w:rPr>
          <w:sz w:val="28"/>
          <w:szCs w:val="28"/>
          <w:rtl w:val="0"/>
          <w:lang w:val="fr-FR"/>
        </w:rPr>
        <w:t xml:space="preserve"> du point de vue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imaginaire,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image et de la repr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sentation. Nous avons tent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 xml:space="preserve">de montrer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 xml:space="preserve">quel point il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tait illusoire de penser que ce qui fait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rence puisse se faire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partir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 comme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 alter-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go. La question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alter-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go est tout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fait int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ressante dans le sens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 autre soi-m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 xml:space="preserve">me,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entendre comme celui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 double de soi-m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me qui ne serait pas celui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une moiti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perdue ou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 soi mutil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. Cette question est particuli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rement pertinente pour ce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il en est du m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me chez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autre, comme le dit cette phrase, que nous avions cit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 xml:space="preserve">: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toi,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moi</w:t>
      </w:r>
      <w:r>
        <w:rPr>
          <w:sz w:val="28"/>
          <w:szCs w:val="28"/>
          <w:rtl w:val="0"/>
          <w:lang w:val="fr-FR"/>
        </w:rPr>
        <w:t> »</w:t>
      </w:r>
      <w:r>
        <w:rPr>
          <w:sz w:val="28"/>
          <w:szCs w:val="28"/>
          <w:rtl w:val="0"/>
          <w:lang w:val="fr-FR"/>
        </w:rPr>
        <w:t>. Le transitivisme en est le paradigme, et le stade du miroir la fiche technique. Dans cette logique imaginaire, la question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identit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rite quelques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veloppements. Dans un premier temps nous verrons avec Paul Ric</w:t>
      </w:r>
      <w:r>
        <w:rPr>
          <w:sz w:val="28"/>
          <w:szCs w:val="28"/>
          <w:rtl w:val="0"/>
          <w:lang w:val="fr-FR"/>
        </w:rPr>
        <w:t>œ</w:t>
      </w:r>
      <w:r>
        <w:rPr>
          <w:sz w:val="28"/>
          <w:szCs w:val="28"/>
          <w:rtl w:val="0"/>
          <w:lang w:val="fr-FR"/>
        </w:rPr>
        <w:t>ur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 </w:t>
      </w:r>
      <w:r>
        <w:rPr>
          <w:sz w:val="28"/>
          <w:szCs w:val="28"/>
          <w:rtl w:val="0"/>
          <w:lang w:val="fr-FR"/>
        </w:rPr>
        <w:t>deux aspects du m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me : ipse et idem. Puis dans un second temps, avec Delphine Horvilleur, qui donne une vision originale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identit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, que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on pourra ainsi articuler avec le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el,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el tel que nous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entendons depuis Jacques Lacan.</w:t>
      </w:r>
    </w:p>
    <w:p>
      <w:pPr>
        <w:pStyle w:val="Corps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Parler du sujet nous am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 xml:space="preserve">nera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travailler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Autre, et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envisager si cela nous permet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avancer sur ce qui fait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rence. Car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la question de ce qui fait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rence qui sert de fil conducteur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notre propos. Nous entendons par faire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rence quelque chose qui permettrait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la limite de cat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goriser les 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tres parlant, comme nous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avons fait jusqu</w:t>
      </w:r>
      <w:r>
        <w:rPr>
          <w:sz w:val="28"/>
          <w:szCs w:val="28"/>
          <w:rtl w:val="0"/>
          <w:lang w:val="fr-FR"/>
        </w:rPr>
        <w:t xml:space="preserve">’à </w:t>
      </w:r>
      <w:r>
        <w:rPr>
          <w:sz w:val="28"/>
          <w:szCs w:val="28"/>
          <w:rtl w:val="0"/>
          <w:lang w:val="fr-FR"/>
        </w:rPr>
        <w:t>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cemment en psychanalyse, en 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tendant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il y a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 c</w:t>
      </w:r>
      <w:r>
        <w:rPr>
          <w:sz w:val="28"/>
          <w:szCs w:val="28"/>
          <w:rtl w:val="0"/>
          <w:lang w:val="fr-FR"/>
        </w:rPr>
        <w:t>ô</w:t>
      </w:r>
      <w:r>
        <w:rPr>
          <w:sz w:val="28"/>
          <w:szCs w:val="28"/>
          <w:rtl w:val="0"/>
          <w:lang w:val="fr-FR"/>
        </w:rPr>
        <w:t>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les hommes et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 autre c</w:t>
      </w:r>
      <w:r>
        <w:rPr>
          <w:sz w:val="28"/>
          <w:szCs w:val="28"/>
          <w:rtl w:val="0"/>
          <w:lang w:val="fr-FR"/>
        </w:rPr>
        <w:t>ô</w:t>
      </w:r>
      <w:r>
        <w:rPr>
          <w:sz w:val="28"/>
          <w:szCs w:val="28"/>
          <w:rtl w:val="0"/>
          <w:lang w:val="fr-FR"/>
        </w:rPr>
        <w:t>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les femmes, finalement comme une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rence essentialis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e. Il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agit de cette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rence qui permettrait de dire quelque chose de la question: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Que suis-je?</w:t>
      </w:r>
      <w:r>
        <w:rPr>
          <w:sz w:val="28"/>
          <w:szCs w:val="28"/>
          <w:rtl w:val="0"/>
          <w:lang w:val="fr-FR"/>
        </w:rPr>
        <w:t> »</w:t>
      </w:r>
      <w:r>
        <w:rPr>
          <w:sz w:val="28"/>
          <w:szCs w:val="28"/>
          <w:rtl w:val="0"/>
          <w:lang w:val="fr-FR"/>
        </w:rPr>
        <w:t>, sans pour autant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finir une identit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, identit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qui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est pas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 xml:space="preserve">proprement parler un concept analytique. Par exemple, en disant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je suis une femme</w:t>
      </w:r>
      <w:r>
        <w:rPr>
          <w:sz w:val="28"/>
          <w:szCs w:val="28"/>
          <w:rtl w:val="0"/>
          <w:lang w:val="fr-FR"/>
        </w:rPr>
        <w:t> »</w:t>
      </w:r>
      <w:r>
        <w:rPr>
          <w:sz w:val="28"/>
          <w:szCs w:val="28"/>
          <w:rtl w:val="0"/>
          <w:lang w:val="fr-FR"/>
        </w:rPr>
        <w:t>, cela signifierait que j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ai acc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 xml:space="preserve">s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 xml:space="preserve">une jouissance non phallique, comme si cela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tait la cons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quence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anatomie,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est-</w:t>
      </w:r>
      <w:r>
        <w:rPr>
          <w:sz w:val="28"/>
          <w:szCs w:val="28"/>
          <w:rtl w:val="0"/>
          <w:lang w:val="fr-FR"/>
        </w:rPr>
        <w:t>à</w:t>
      </w:r>
      <w:r>
        <w:rPr>
          <w:sz w:val="28"/>
          <w:szCs w:val="28"/>
          <w:rtl w:val="0"/>
          <w:lang w:val="fr-FR"/>
        </w:rPr>
        <w:t>-dire que cela serait comme si c</w:t>
      </w:r>
      <w:r>
        <w:rPr>
          <w:sz w:val="28"/>
          <w:szCs w:val="28"/>
          <w:rtl w:val="0"/>
          <w:lang w:val="fr-FR"/>
        </w:rPr>
        <w:t>’é</w:t>
      </w:r>
      <w:r>
        <w:rPr>
          <w:sz w:val="28"/>
          <w:szCs w:val="28"/>
          <w:rtl w:val="0"/>
          <w:lang w:val="fr-FR"/>
        </w:rPr>
        <w:t xml:space="preserve">tait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crit en tant que cons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quence du fait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avoir ou non un p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nis.</w:t>
      </w:r>
    </w:p>
    <w:p>
      <w:pPr>
        <w:pStyle w:val="Corps"/>
        <w:ind w:firstLine="567"/>
        <w:jc w:val="both"/>
        <w:rPr>
          <w:sz w:val="28"/>
          <w:szCs w:val="28"/>
        </w:rPr>
      </w:pPr>
    </w:p>
    <w:p>
      <w:pPr>
        <w:pStyle w:val="Corps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 xml:space="preserve">Paul </w:t>
      </w:r>
      <w:r>
        <w:rPr>
          <w:sz w:val="28"/>
          <w:szCs w:val="28"/>
          <w:rtl w:val="0"/>
          <w:lang w:val="de-DE"/>
        </w:rPr>
        <w:t>Ric</w:t>
      </w:r>
      <w:r>
        <w:rPr>
          <w:sz w:val="28"/>
          <w:szCs w:val="28"/>
          <w:rtl w:val="0"/>
          <w:lang w:val="fr-FR"/>
        </w:rPr>
        <w:t>œ</w:t>
      </w:r>
      <w:r>
        <w:rPr>
          <w:sz w:val="28"/>
          <w:szCs w:val="28"/>
          <w:rtl w:val="0"/>
        </w:rPr>
        <w:t>ur</w:t>
      </w:r>
      <w:r>
        <w:rPr>
          <w:sz w:val="28"/>
          <w:szCs w:val="28"/>
          <w:rtl w:val="0"/>
          <w:lang w:val="fr-FR"/>
        </w:rPr>
        <w:t xml:space="preserve"> distingue dans son texte: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Soi-m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me comme un autre</w:t>
      </w:r>
      <w:r>
        <w:rPr>
          <w:sz w:val="28"/>
          <w:szCs w:val="28"/>
          <w:rtl w:val="0"/>
          <w:lang w:val="fr-FR"/>
        </w:rPr>
        <w:t xml:space="preserve"> » </w:t>
      </w:r>
      <w:r>
        <w:rPr>
          <w:rStyle w:val="Aucun"/>
          <w:sz w:val="28"/>
          <w:szCs w:val="28"/>
          <w:vertAlign w:val="superscript"/>
        </w:rPr>
        <w:footnoteReference w:id="1"/>
      </w:r>
      <w:r>
        <w:rPr>
          <w:sz w:val="28"/>
          <w:szCs w:val="28"/>
          <w:rtl w:val="0"/>
          <w:lang w:val="fr-FR"/>
        </w:rPr>
        <w:t>, deux entendements de ce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le m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me: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idem et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ipse. Ce qui nous semble remarquable dans ce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il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crit est li</w:t>
      </w:r>
      <w:r>
        <w:rPr>
          <w:sz w:val="28"/>
          <w:szCs w:val="28"/>
          <w:rtl w:val="0"/>
          <w:lang w:val="fr-FR"/>
        </w:rPr>
        <w:t xml:space="preserve">é à </w:t>
      </w:r>
      <w:r>
        <w:rPr>
          <w:sz w:val="28"/>
          <w:szCs w:val="28"/>
          <w:rtl w:val="0"/>
          <w:lang w:val="fr-FR"/>
        </w:rPr>
        <w:t xml:space="preserve">son approche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partir de la polys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mie du signifiant: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m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me</w:t>
      </w:r>
      <w:r>
        <w:rPr>
          <w:sz w:val="28"/>
          <w:szCs w:val="28"/>
          <w:rtl w:val="0"/>
          <w:lang w:val="fr-FR"/>
        </w:rPr>
        <w:t> »</w:t>
      </w:r>
      <w:r>
        <w:rPr>
          <w:sz w:val="28"/>
          <w:szCs w:val="28"/>
          <w:rtl w:val="0"/>
          <w:lang w:val="fr-FR"/>
        </w:rPr>
        <w:t>. Citons le:</w:t>
      </w:r>
      <w:r>
        <w:rPr>
          <w:sz w:val="28"/>
          <w:szCs w:val="28"/>
          <w:rtl w:val="0"/>
          <w:lang w:val="fr-FR"/>
        </w:rPr>
        <w:t> « 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Le caract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è</w:t>
      </w:r>
      <w:r>
        <w:rPr>
          <w:rStyle w:val="Aucun"/>
          <w:i w:val="1"/>
          <w:iCs w:val="1"/>
          <w:sz w:val="28"/>
          <w:szCs w:val="28"/>
          <w:rtl w:val="0"/>
        </w:rPr>
        <w:t>re polys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mique de l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</w:rPr>
        <w:t>alt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</w:rPr>
        <w:t>rit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, lequel, implique que l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Autre ne se r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duise pas, comme on le tient trop facilement pour acquis,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Style w:val="Aucun"/>
          <w:i w:val="1"/>
          <w:iCs w:val="1"/>
          <w:sz w:val="28"/>
          <w:szCs w:val="28"/>
          <w:rtl w:val="0"/>
        </w:rPr>
        <w:t>l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</w:rPr>
        <w:t>alt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</w:rPr>
        <w:t>rit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8"/>
          <w:szCs w:val="28"/>
          <w:rtl w:val="0"/>
        </w:rPr>
        <w:t>d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un Autrui. Ce second point m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rite explication. Il r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</w:rPr>
        <w:t>sulte de l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</w:rPr>
        <w:t>infl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chissement de la dialectique du M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ê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me et de l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Autre au contact de l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en-US"/>
        </w:rPr>
        <w:t>herm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neutique du soi. En fait, c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est le p</w:t>
      </w:r>
      <w:r>
        <w:rPr>
          <w:rStyle w:val="Aucun"/>
          <w:i w:val="1"/>
          <w:iCs w:val="1"/>
          <w:sz w:val="28"/>
          <w:szCs w:val="28"/>
          <w:rtl w:val="0"/>
        </w:rPr>
        <w:t>ô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le du M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ê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me qui a le premier perdu son univocit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, en se fracturant en m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ê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me temps que l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identique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tait travers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par la ligne de partage qui s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it-IT"/>
        </w:rPr>
        <w:t>pare l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ipse de l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idem. Le crit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è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re temporel de cette division,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savoir la double valence de la permanence dans le temps, selon qu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it-IT"/>
        </w:rPr>
        <w:t>elle d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signe l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it-IT"/>
        </w:rPr>
        <w:t>immutabilit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de l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idem ou le maintient de soi de l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ipse, m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rite d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’ê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tre rappel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une derni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è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re fois. La polys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mie de l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</w:rPr>
        <w:t>ips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</w:rPr>
        <w:t>it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, la premi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è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re remarqu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e, sert en quelque sorte de r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</w:rPr>
        <w:t>v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lateur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Style w:val="Aucun"/>
          <w:i w:val="1"/>
          <w:iCs w:val="1"/>
          <w:sz w:val="28"/>
          <w:szCs w:val="28"/>
          <w:rtl w:val="0"/>
        </w:rPr>
        <w:t>l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’é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gard de la polys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mie de l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Autre, qui fait face au M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ê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me, au sens de soi-m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ê</w:t>
      </w:r>
      <w:r>
        <w:rPr>
          <w:rStyle w:val="Aucun"/>
          <w:i w:val="1"/>
          <w:iCs w:val="1"/>
          <w:sz w:val="28"/>
          <w:szCs w:val="28"/>
          <w:rtl w:val="0"/>
        </w:rPr>
        <w:t>me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 </w:t>
      </w:r>
      <w:r>
        <w:rPr>
          <w:rStyle w:val="Aucun"/>
          <w:i w:val="1"/>
          <w:iCs w:val="1"/>
          <w:sz w:val="28"/>
          <w:szCs w:val="28"/>
          <w:vertAlign w:val="superscript"/>
        </w:rPr>
        <w:footnoteReference w:id="2"/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fr-FR"/>
        </w:rPr>
        <w:t xml:space="preserve">Ainsi, pour lui, cette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division du soi</w:t>
      </w:r>
      <w:r>
        <w:rPr>
          <w:sz w:val="28"/>
          <w:szCs w:val="28"/>
          <w:rtl w:val="0"/>
          <w:lang w:val="fr-FR"/>
        </w:rPr>
        <w:t> »</w:t>
      </w:r>
      <w:r>
        <w:rPr>
          <w:sz w:val="28"/>
          <w:szCs w:val="28"/>
          <w:rtl w:val="0"/>
          <w:lang w:val="fr-FR"/>
        </w:rPr>
        <w:t>, permanente dans le temps,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effectue entre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immuabilit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idem, qui pour nous repr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sente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image,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identification et la repr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sentation, et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ipse qui se maintient quoiqu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il se passe. La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finition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ips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que nous avons trouv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est celle-ci: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fr-FR"/>
        </w:rPr>
        <w:t>c</w:t>
      </w:r>
      <w:r>
        <w:rPr>
          <w:sz w:val="28"/>
          <w:szCs w:val="28"/>
          <w:rtl w:val="0"/>
          <w:lang w:val="fr-FR"/>
        </w:rPr>
        <w:t>e qui fait qu'une personne, par des caract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res strictement individuels, est non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ductible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une autre.</w:t>
      </w:r>
      <w:r>
        <w:rPr>
          <w:sz w:val="28"/>
          <w:szCs w:val="28"/>
          <w:rtl w:val="0"/>
          <w:lang w:val="fr-FR"/>
        </w:rPr>
        <w:t xml:space="preserve"> Il appara</w:t>
      </w:r>
      <w:r>
        <w:rPr>
          <w:sz w:val="28"/>
          <w:szCs w:val="28"/>
          <w:rtl w:val="0"/>
          <w:lang w:val="fr-FR"/>
        </w:rPr>
        <w:t>î</w:t>
      </w:r>
      <w:r>
        <w:rPr>
          <w:sz w:val="28"/>
          <w:szCs w:val="28"/>
          <w:rtl w:val="0"/>
          <w:lang w:val="fr-FR"/>
        </w:rPr>
        <w:t>t que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idem ressortit plut</w:t>
      </w:r>
      <w:r>
        <w:rPr>
          <w:sz w:val="28"/>
          <w:szCs w:val="28"/>
          <w:rtl w:val="0"/>
          <w:lang w:val="fr-FR"/>
        </w:rPr>
        <w:t>ô</w:t>
      </w:r>
      <w:r>
        <w:rPr>
          <w:sz w:val="28"/>
          <w:szCs w:val="28"/>
          <w:rtl w:val="0"/>
          <w:lang w:val="fr-FR"/>
        </w:rPr>
        <w:t xml:space="preserve">t au moi, instance  essentiellement imaginaire et donc ce qui correspond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ce que nous nommions au 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dent 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minaire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 xml:space="preserve">Metz le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sujet social</w:t>
      </w:r>
      <w:r>
        <w:rPr>
          <w:sz w:val="28"/>
          <w:szCs w:val="28"/>
          <w:rtl w:val="0"/>
          <w:lang w:val="fr-FR"/>
        </w:rPr>
        <w:t> »</w:t>
      </w:r>
      <w:r>
        <w:rPr>
          <w:sz w:val="28"/>
          <w:szCs w:val="28"/>
          <w:rtl w:val="0"/>
          <w:lang w:val="fr-FR"/>
        </w:rPr>
        <w:t>. Son caract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re de permanence ou de continuit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le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rencie radicalement du sujet, dont Annick Hubert-Barth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lemy nous a montr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au 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minaire parisien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A.F. la semaine derni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re, que le sujet se caract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risait justement par son impermanence ou discontinuit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. Quant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la notion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ipse, elle se rapproche bien plus de ce que nous entendons par sujet ( ce qui est repr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sent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par un signifiant pour un autre signifiant ) en tant que du m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me, elle en signifie la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rence par rapport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autre, autre qui ne peut 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tre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duit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Autrui, affirme Paul </w:t>
      </w:r>
      <w:r>
        <w:rPr>
          <w:sz w:val="28"/>
          <w:szCs w:val="28"/>
          <w:rtl w:val="0"/>
          <w:lang w:val="de-DE"/>
        </w:rPr>
        <w:t>Ric</w:t>
      </w:r>
      <w:r>
        <w:rPr>
          <w:sz w:val="28"/>
          <w:szCs w:val="28"/>
          <w:rtl w:val="0"/>
          <w:lang w:val="fr-FR"/>
        </w:rPr>
        <w:t>œ</w:t>
      </w:r>
      <w:r>
        <w:rPr>
          <w:sz w:val="28"/>
          <w:szCs w:val="28"/>
          <w:rtl w:val="0"/>
        </w:rPr>
        <w:t>ur</w:t>
      </w:r>
      <w:r>
        <w:rPr>
          <w:sz w:val="28"/>
          <w:szCs w:val="28"/>
          <w:rtl w:val="0"/>
          <w:lang w:val="fr-FR"/>
        </w:rPr>
        <w:t>. Ainsi, le m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me en tant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idem,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est-</w:t>
      </w:r>
      <w:r>
        <w:rPr>
          <w:sz w:val="28"/>
          <w:szCs w:val="28"/>
          <w:rtl w:val="0"/>
          <w:lang w:val="fr-FR"/>
        </w:rPr>
        <w:t>à</w:t>
      </w:r>
      <w:r>
        <w:rPr>
          <w:sz w:val="28"/>
          <w:szCs w:val="28"/>
          <w:rtl w:val="0"/>
          <w:lang w:val="fr-FR"/>
        </w:rPr>
        <w:t>-dire le moi, ne peut soutenir ce qui fait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rence. Il y a bien s</w:t>
      </w:r>
      <w:r>
        <w:rPr>
          <w:sz w:val="28"/>
          <w:szCs w:val="28"/>
          <w:rtl w:val="0"/>
          <w:lang w:val="fr-FR"/>
        </w:rPr>
        <w:t>û</w:t>
      </w:r>
      <w:r>
        <w:rPr>
          <w:sz w:val="28"/>
          <w:szCs w:val="28"/>
          <w:rtl w:val="0"/>
          <w:lang w:val="fr-FR"/>
        </w:rPr>
        <w:t>r des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rences entre les mois de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rents sujets, dans le sens o</w:t>
      </w:r>
      <w:r>
        <w:rPr>
          <w:sz w:val="28"/>
          <w:szCs w:val="28"/>
          <w:rtl w:val="0"/>
          <w:lang w:val="fr-FR"/>
        </w:rPr>
        <w:t xml:space="preserve">ù </w:t>
      </w:r>
      <w:r>
        <w:rPr>
          <w:sz w:val="28"/>
          <w:szCs w:val="28"/>
          <w:rtl w:val="0"/>
          <w:lang w:val="fr-FR"/>
        </w:rPr>
        <w:t>le moi est aussi la somme des identifications et que chacun est une somme singuli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re, unique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identifications. Notre th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se consiste en ce que nous cherchons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il existe un lieu porteur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une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rence qui serait radicale,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est-</w:t>
      </w:r>
      <w:r>
        <w:rPr>
          <w:sz w:val="28"/>
          <w:szCs w:val="28"/>
          <w:rtl w:val="0"/>
          <w:lang w:val="fr-FR"/>
        </w:rPr>
        <w:t>à</w:t>
      </w:r>
      <w:r>
        <w:rPr>
          <w:sz w:val="28"/>
          <w:szCs w:val="28"/>
          <w:rtl w:val="0"/>
          <w:lang w:val="fr-FR"/>
        </w:rPr>
        <w:t>-dire source de ce qui fait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rence entre les 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tres. En effet, Lacan montre que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identification, 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canisme imaginaire chez Freud, donc identification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image, est pour lui identification au signifiant. Comme nous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avons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j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 xml:space="preserve">plusieurs fois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voqu</w:t>
      </w:r>
      <w:r>
        <w:rPr>
          <w:sz w:val="28"/>
          <w:szCs w:val="28"/>
          <w:rtl w:val="0"/>
          <w:lang w:val="fr-FR"/>
        </w:rPr>
        <w:t xml:space="preserve">é à </w:t>
      </w:r>
      <w:r>
        <w:rPr>
          <w:sz w:val="28"/>
          <w:szCs w:val="28"/>
          <w:rtl w:val="0"/>
          <w:lang w:val="fr-FR"/>
        </w:rPr>
        <w:t>propos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identification au signifiant homme ou femme, par exemple. Ainsi, la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rence entre les mois de chaque sujet, ressortit au rapport au signifiant,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est-</w:t>
      </w:r>
      <w:r>
        <w:rPr>
          <w:sz w:val="28"/>
          <w:szCs w:val="28"/>
          <w:rtl w:val="0"/>
          <w:lang w:val="fr-FR"/>
        </w:rPr>
        <w:t>à</w:t>
      </w:r>
      <w:r>
        <w:rPr>
          <w:sz w:val="28"/>
          <w:szCs w:val="28"/>
          <w:rtl w:val="0"/>
          <w:lang w:val="fr-FR"/>
        </w:rPr>
        <w:t>-dire finalement au sujet.</w:t>
      </w:r>
    </w:p>
    <w:p>
      <w:pPr>
        <w:pStyle w:val="Corps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 xml:space="preserve">Alors comment Paul </w:t>
      </w:r>
      <w:r>
        <w:rPr>
          <w:sz w:val="28"/>
          <w:szCs w:val="28"/>
          <w:rtl w:val="0"/>
          <w:lang w:val="de-DE"/>
        </w:rPr>
        <w:t>Ric</w:t>
      </w:r>
      <w:r>
        <w:rPr>
          <w:sz w:val="28"/>
          <w:szCs w:val="28"/>
          <w:rtl w:val="0"/>
          <w:lang w:val="fr-FR"/>
        </w:rPr>
        <w:t>œ</w:t>
      </w:r>
      <w:r>
        <w:rPr>
          <w:sz w:val="28"/>
          <w:szCs w:val="28"/>
          <w:rtl w:val="0"/>
        </w:rPr>
        <w:t>ur</w:t>
      </w:r>
      <w:r>
        <w:rPr>
          <w:sz w:val="28"/>
          <w:szCs w:val="28"/>
          <w:rtl w:val="0"/>
          <w:lang w:val="fr-FR"/>
        </w:rPr>
        <w:t xml:space="preserve"> am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ne-t-il la notion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ipse? Il le fait en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renciant le corps de la chair, en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appuyant sur Husserl. Il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crit:</w:t>
      </w:r>
      <w:r>
        <w:rPr>
          <w:sz w:val="28"/>
          <w:szCs w:val="28"/>
          <w:rtl w:val="0"/>
          <w:lang w:val="fr-FR"/>
        </w:rPr>
        <w:t xml:space="preserve"> «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L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</w:rPr>
        <w:t>ips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</w:rPr>
        <w:t>it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implique une alt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</w:rPr>
        <w:t>rit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 « 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propre</w:t>
      </w:r>
      <w:r>
        <w:rPr>
          <w:rStyle w:val="Aucun"/>
          <w:i w:val="1"/>
          <w:iCs w:val="1"/>
          <w:sz w:val="28"/>
          <w:szCs w:val="28"/>
          <w:rtl w:val="0"/>
        </w:rPr>
        <w:t> »</w:t>
      </w:r>
      <w:r>
        <w:rPr>
          <w:rStyle w:val="Aucun"/>
          <w:i w:val="1"/>
          <w:iCs w:val="1"/>
          <w:sz w:val="28"/>
          <w:szCs w:val="28"/>
          <w:rtl w:val="0"/>
          <w:lang w:val="it-IT"/>
        </w:rPr>
        <w:t>, si l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on peut dire, dont la chair est le support</w:t>
      </w:r>
      <w:r>
        <w:rPr>
          <w:sz w:val="28"/>
          <w:szCs w:val="28"/>
          <w:rtl w:val="0"/>
          <w:lang w:val="fr-FR"/>
        </w:rPr>
        <w:t>.</w:t>
      </w:r>
      <w:r>
        <w:rPr>
          <w:rStyle w:val="Aucun"/>
          <w:sz w:val="28"/>
          <w:szCs w:val="28"/>
          <w:vertAlign w:val="superscript"/>
        </w:rPr>
        <w:footnoteReference w:id="3"/>
      </w:r>
      <w:r>
        <w:rPr>
          <w:sz w:val="28"/>
          <w:szCs w:val="28"/>
          <w:rtl w:val="0"/>
          <w:lang w:val="fr-FR"/>
        </w:rPr>
        <w:t xml:space="preserve"> » </w:t>
      </w:r>
      <w:r>
        <w:rPr>
          <w:sz w:val="28"/>
          <w:szCs w:val="28"/>
          <w:rtl w:val="0"/>
          <w:lang w:val="fr-FR"/>
        </w:rPr>
        <w:t>Dans notre champ, celui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inconscient, nous pouvons entendre cette distinction faite entre corps et chair ainsi: lors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entr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e dans le langage,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est-</w:t>
      </w:r>
      <w:r>
        <w:rPr>
          <w:sz w:val="28"/>
          <w:szCs w:val="28"/>
          <w:rtl w:val="0"/>
          <w:lang w:val="fr-FR"/>
        </w:rPr>
        <w:t>à</w:t>
      </w:r>
      <w:r>
        <w:rPr>
          <w:sz w:val="28"/>
          <w:szCs w:val="28"/>
          <w:rtl w:val="0"/>
          <w:lang w:val="fr-FR"/>
        </w:rPr>
        <w:t>-dire lors de ce qui est la castration symbolique, le sujet en devenir est coup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de sa jouissance,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est-</w:t>
      </w:r>
      <w:r>
        <w:rPr>
          <w:sz w:val="28"/>
          <w:szCs w:val="28"/>
          <w:rtl w:val="0"/>
          <w:lang w:val="fr-FR"/>
        </w:rPr>
        <w:t>à</w:t>
      </w:r>
      <w:r>
        <w:rPr>
          <w:sz w:val="28"/>
          <w:szCs w:val="28"/>
          <w:rtl w:val="0"/>
          <w:lang w:val="fr-FR"/>
        </w:rPr>
        <w:t xml:space="preserve">-dire de son corps. Le rapport entre corps et jouissance peut 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tre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sum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par cette phrase de Lacan dans le 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minaire: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Ou pire</w:t>
      </w:r>
      <w:r>
        <w:rPr>
          <w:sz w:val="28"/>
          <w:szCs w:val="28"/>
          <w:rtl w:val="0"/>
          <w:lang w:val="fr-FR"/>
        </w:rPr>
        <w:t> »</w:t>
      </w:r>
      <w:r>
        <w:rPr>
          <w:sz w:val="28"/>
          <w:szCs w:val="28"/>
          <w:rtl w:val="0"/>
          <w:lang w:val="fr-FR"/>
        </w:rPr>
        <w:t>, o</w:t>
      </w:r>
      <w:r>
        <w:rPr>
          <w:sz w:val="28"/>
          <w:szCs w:val="28"/>
          <w:rtl w:val="0"/>
          <w:lang w:val="fr-FR"/>
        </w:rPr>
        <w:t xml:space="preserve">ù </w:t>
      </w:r>
      <w:r>
        <w:rPr>
          <w:sz w:val="28"/>
          <w:szCs w:val="28"/>
          <w:rtl w:val="0"/>
          <w:lang w:val="fr-FR"/>
        </w:rPr>
        <w:t>il affirme que la jouissance est :</w:t>
      </w:r>
      <w:r>
        <w:rPr>
          <w:sz w:val="28"/>
          <w:szCs w:val="28"/>
          <w:rtl w:val="0"/>
          <w:lang w:val="fr-FR"/>
        </w:rPr>
        <w:t> « 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le rapport de cet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ê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tre parlant avec son corps...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car il n'y a pas d'autre d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finition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possible de la jouissance</w:t>
      </w:r>
      <w:r>
        <w:rPr>
          <w:sz w:val="28"/>
          <w:szCs w:val="28"/>
          <w:rtl w:val="0"/>
          <w:lang w:val="fr-FR"/>
        </w:rPr>
        <w:t> </w:t>
      </w:r>
      <w:r>
        <w:rPr>
          <w:rStyle w:val="Aucun"/>
          <w:sz w:val="28"/>
          <w:szCs w:val="28"/>
          <w:vertAlign w:val="superscript"/>
        </w:rPr>
        <w:footnoteReference w:id="4"/>
      </w:r>
      <w:r>
        <w:rPr>
          <w:sz w:val="28"/>
          <w:szCs w:val="28"/>
          <w:rtl w:val="0"/>
          <w:lang w:val="fr-FR"/>
        </w:rPr>
        <w:t> »</w:t>
      </w:r>
      <w:r>
        <w:rPr>
          <w:sz w:val="28"/>
          <w:szCs w:val="28"/>
          <w:rtl w:val="0"/>
          <w:lang w:val="fr-FR"/>
        </w:rPr>
        <w:t xml:space="preserve">. Alors, comment fait le sujet pour se raccorder, se connecter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son corps? Il fait en l</w:t>
      </w:r>
      <w:r>
        <w:rPr>
          <w:sz w:val="28"/>
          <w:szCs w:val="28"/>
          <w:rtl w:val="0"/>
          <w:lang w:val="fr-FR"/>
        </w:rPr>
        <w:t>’é</w:t>
      </w:r>
      <w:r>
        <w:rPr>
          <w:sz w:val="28"/>
          <w:szCs w:val="28"/>
          <w:rtl w:val="0"/>
          <w:lang w:val="fr-FR"/>
        </w:rPr>
        <w:t>rotisant, nous dit Freud ( zones orales, anales et g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nitales ).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est-</w:t>
      </w:r>
      <w:r>
        <w:rPr>
          <w:sz w:val="28"/>
          <w:szCs w:val="28"/>
          <w:rtl w:val="0"/>
          <w:lang w:val="fr-FR"/>
        </w:rPr>
        <w:t>à</w:t>
      </w:r>
      <w:r>
        <w:rPr>
          <w:sz w:val="28"/>
          <w:szCs w:val="28"/>
          <w:rtl w:val="0"/>
          <w:lang w:val="fr-FR"/>
        </w:rPr>
        <w:t>-dire que le corps, ou du moins certaines parties, seront appropri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es par le sujet, en tant que signifiants. Nous pensons que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de cela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il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agit quand</w:t>
      </w:r>
      <w:r>
        <w:rPr>
          <w:sz w:val="28"/>
          <w:szCs w:val="28"/>
          <w:rtl w:val="0"/>
          <w:lang w:val="de-DE"/>
        </w:rPr>
        <w:t xml:space="preserve"> Ric</w:t>
      </w:r>
      <w:r>
        <w:rPr>
          <w:sz w:val="28"/>
          <w:szCs w:val="28"/>
          <w:rtl w:val="0"/>
          <w:lang w:val="fr-FR"/>
        </w:rPr>
        <w:t>œ</w:t>
      </w:r>
      <w:r>
        <w:rPr>
          <w:sz w:val="28"/>
          <w:szCs w:val="28"/>
          <w:rtl w:val="0"/>
        </w:rPr>
        <w:t>ur</w:t>
      </w:r>
      <w:r>
        <w:rPr>
          <w:sz w:val="28"/>
          <w:szCs w:val="28"/>
          <w:rtl w:val="0"/>
          <w:lang w:val="fr-FR"/>
        </w:rPr>
        <w:t xml:space="preserve"> parle de chair. Le sujet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approprie son corps en tant que corps propre, en tant que chair, par le truchement du signifiant. Il peut ainsi le distinguer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 corps parmi les corps. Finalement, le sexuel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rien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 que cela,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est-</w:t>
      </w:r>
      <w:r>
        <w:rPr>
          <w:sz w:val="28"/>
          <w:szCs w:val="28"/>
          <w:rtl w:val="0"/>
          <w:lang w:val="fr-FR"/>
        </w:rPr>
        <w:t>à</w:t>
      </w:r>
      <w:r>
        <w:rPr>
          <w:sz w:val="28"/>
          <w:szCs w:val="28"/>
          <w:rtl w:val="0"/>
          <w:lang w:val="fr-FR"/>
        </w:rPr>
        <w:t xml:space="preserve">-dire les effets de cette coupure entre le sujet et son corps qui en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tant sexualis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 xml:space="preserve">devient chair. Le sexuel tendant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combler l</w:t>
      </w:r>
      <w:r>
        <w:rPr>
          <w:sz w:val="28"/>
          <w:szCs w:val="28"/>
          <w:rtl w:val="0"/>
          <w:lang w:val="fr-FR"/>
        </w:rPr>
        <w:t>’é</w:t>
      </w:r>
      <w:r>
        <w:rPr>
          <w:sz w:val="28"/>
          <w:szCs w:val="28"/>
          <w:rtl w:val="0"/>
          <w:lang w:val="fr-FR"/>
        </w:rPr>
        <w:t xml:space="preserve">cart entre le corps et la parole, et ainsi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 xml:space="preserve">retrouver,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cup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rer cette jouissance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perdue</w:t>
      </w:r>
      <w:r>
        <w:rPr>
          <w:sz w:val="28"/>
          <w:szCs w:val="28"/>
          <w:rtl w:val="0"/>
          <w:lang w:val="fr-FR"/>
        </w:rPr>
        <w:t> »</w:t>
      </w:r>
      <w:r>
        <w:rPr>
          <w:sz w:val="28"/>
          <w:szCs w:val="28"/>
          <w:rtl w:val="0"/>
          <w:lang w:val="fr-FR"/>
        </w:rPr>
        <w:t>, le plus-de-jouir.</w:t>
      </w:r>
      <w:r>
        <w:rPr>
          <w:sz w:val="28"/>
          <w:szCs w:val="28"/>
          <w:rtl w:val="0"/>
          <w:lang w:val="fr-FR"/>
        </w:rPr>
        <w:t xml:space="preserve"> Cela ne va pas sans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voquer la th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orie des pulsions de Freud, o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fr-FR"/>
        </w:rPr>
        <w:t>la pulsion est ce qui vient articuler le rapport entre le corps et la parole</w:t>
      </w:r>
      <w:r>
        <w:rPr>
          <w:sz w:val="28"/>
          <w:szCs w:val="28"/>
          <w:rtl w:val="0"/>
          <w:lang w:val="fr-FR"/>
        </w:rPr>
        <w:t>, et vient tendre vers la jouissance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fr-FR"/>
        </w:rPr>
        <w:t xml:space="preserve"> Le sympt</w:t>
      </w:r>
      <w:r>
        <w:rPr>
          <w:sz w:val="28"/>
          <w:szCs w:val="28"/>
          <w:rtl w:val="0"/>
          <w:lang w:val="fr-FR"/>
        </w:rPr>
        <w:t>ô</w:t>
      </w:r>
      <w:r>
        <w:rPr>
          <w:sz w:val="28"/>
          <w:szCs w:val="28"/>
          <w:rtl w:val="0"/>
          <w:lang w:val="fr-FR"/>
        </w:rPr>
        <w:t>me de conversion hyst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rique en est la plus belle illustration, o</w:t>
      </w:r>
      <w:r>
        <w:rPr>
          <w:sz w:val="28"/>
          <w:szCs w:val="28"/>
          <w:rtl w:val="0"/>
          <w:lang w:val="fr-FR"/>
        </w:rPr>
        <w:t xml:space="preserve">ù </w:t>
      </w:r>
      <w:r>
        <w:rPr>
          <w:sz w:val="28"/>
          <w:szCs w:val="28"/>
          <w:rtl w:val="0"/>
          <w:lang w:val="fr-FR"/>
        </w:rPr>
        <w:t>le corps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coup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en signifiants supporte la jouissance. Un exemple clinique simple: une femme 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sente une paralysie du bras, ce qui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emp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che de travailler, car elle est serveuse. Ce sympt</w:t>
      </w:r>
      <w:r>
        <w:rPr>
          <w:sz w:val="28"/>
          <w:szCs w:val="28"/>
          <w:rtl w:val="0"/>
          <w:lang w:val="fr-FR"/>
        </w:rPr>
        <w:t>ô</w:t>
      </w:r>
      <w:r>
        <w:rPr>
          <w:sz w:val="28"/>
          <w:szCs w:val="28"/>
          <w:rtl w:val="0"/>
          <w:lang w:val="fr-FR"/>
        </w:rPr>
        <w:t>me vient chez elle exprimer la douleur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avoir perdu son enfant. La paralysie hyst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rique de son bras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a rien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voir avec la physiologie, elle est l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pour repr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senter un signifiant: le bras, qui ne peut plus porter son enfant car il est mort. Mais qui est mort?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enfant ou le bras? Nous retrouvons l</w:t>
      </w:r>
      <w:r>
        <w:rPr>
          <w:sz w:val="28"/>
          <w:szCs w:val="28"/>
          <w:rtl w:val="0"/>
          <w:lang w:val="fr-FR"/>
        </w:rPr>
        <w:t>à</w:t>
      </w:r>
      <w:r>
        <w:rPr>
          <w:sz w:val="28"/>
          <w:szCs w:val="28"/>
          <w:rtl w:val="0"/>
          <w:lang w:val="fr-FR"/>
        </w:rPr>
        <w:t>, non seulement la polys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mie du signifiant, mais aussi cette fronti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re toujours floue entre le soi et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autre.</w:t>
      </w:r>
    </w:p>
    <w:p>
      <w:pPr>
        <w:pStyle w:val="Corps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 xml:space="preserve">Alors, comment Paul </w:t>
      </w:r>
      <w:r>
        <w:rPr>
          <w:sz w:val="28"/>
          <w:szCs w:val="28"/>
          <w:rtl w:val="0"/>
          <w:lang w:val="de-DE"/>
        </w:rPr>
        <w:t>Ric</w:t>
      </w:r>
      <w:r>
        <w:rPr>
          <w:sz w:val="28"/>
          <w:szCs w:val="28"/>
          <w:rtl w:val="0"/>
          <w:lang w:val="fr-FR"/>
        </w:rPr>
        <w:t>œ</w:t>
      </w:r>
      <w:r>
        <w:rPr>
          <w:sz w:val="28"/>
          <w:szCs w:val="28"/>
          <w:rtl w:val="0"/>
        </w:rPr>
        <w:t>ur</w:t>
      </w:r>
      <w:r>
        <w:rPr>
          <w:sz w:val="28"/>
          <w:szCs w:val="28"/>
          <w:rtl w:val="0"/>
          <w:lang w:val="fr-FR"/>
        </w:rPr>
        <w:t xml:space="preserve"> se sort de cette difficult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, qui est finalement celle de la distinction entre alt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et ips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it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? Il le fait avec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e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 propre qui est 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cis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ment la chair dans sa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rence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avec le corps. Cela permet, pour lui, la formation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un moi comme chair avant la </w:t>
      </w:r>
      <w:r>
        <w:rPr>
          <w:sz w:val="28"/>
          <w:szCs w:val="28"/>
          <w:rtl w:val="0"/>
          <w:lang w:val="fr-FR"/>
        </w:rPr>
        <w:t>constitution</w:t>
      </w:r>
      <w:r>
        <w:rPr>
          <w:sz w:val="28"/>
          <w:szCs w:val="28"/>
          <w:rtl w:val="0"/>
          <w:lang w:val="fr-FR"/>
        </w:rPr>
        <w:t xml:space="preserve">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alter ego</w:t>
      </w:r>
      <w:r>
        <w:rPr>
          <w:rStyle w:val="Aucun"/>
          <w:sz w:val="28"/>
          <w:szCs w:val="28"/>
          <w:vertAlign w:val="superscript"/>
        </w:rPr>
        <w:footnoteReference w:id="5"/>
      </w:r>
      <w:r>
        <w:rPr>
          <w:sz w:val="28"/>
          <w:szCs w:val="28"/>
          <w:rtl w:val="0"/>
          <w:lang w:val="fr-FR"/>
        </w:rPr>
        <w:t>, repr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sentant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alt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rit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. Pour lui, contrairement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Lacan, le moi ( voire m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 xml:space="preserve">me le sujet ) se constitue avant la confrontation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autre. Il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agit, bien s</w:t>
      </w:r>
      <w:r>
        <w:rPr>
          <w:sz w:val="28"/>
          <w:szCs w:val="28"/>
          <w:rtl w:val="0"/>
          <w:lang w:val="fr-FR"/>
        </w:rPr>
        <w:t>û</w:t>
      </w:r>
      <w:r>
        <w:rPr>
          <w:sz w:val="28"/>
          <w:szCs w:val="28"/>
          <w:rtl w:val="0"/>
          <w:lang w:val="fr-FR"/>
        </w:rPr>
        <w:t xml:space="preserve">r, pour lui du moi de la conscience </w:t>
      </w:r>
      <w:r>
        <w:rPr>
          <w:sz w:val="28"/>
          <w:szCs w:val="28"/>
          <w:rtl w:val="0"/>
          <w:lang w:val="fr-FR"/>
        </w:rPr>
        <w:t>de soi-m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</w:rPr>
        <w:t>me</w:t>
      </w:r>
      <w:r>
        <w:rPr>
          <w:sz w:val="28"/>
          <w:szCs w:val="28"/>
          <w:rtl w:val="0"/>
          <w:lang w:val="fr-FR"/>
        </w:rPr>
        <w:t xml:space="preserve"> ( au sens de connaissance, Gewissen plut</w:t>
      </w:r>
      <w:r>
        <w:rPr>
          <w:sz w:val="28"/>
          <w:szCs w:val="28"/>
          <w:rtl w:val="0"/>
          <w:lang w:val="fr-FR"/>
        </w:rPr>
        <w:t>ô</w:t>
      </w:r>
      <w:r>
        <w:rPr>
          <w:sz w:val="28"/>
          <w:szCs w:val="28"/>
          <w:rtl w:val="0"/>
          <w:lang w:val="fr-FR"/>
        </w:rPr>
        <w:t>t que Bewusstsein</w:t>
      </w:r>
      <w:r>
        <w:rPr>
          <w:rStyle w:val="Aucun"/>
          <w:sz w:val="28"/>
          <w:szCs w:val="28"/>
          <w:vertAlign w:val="superscript"/>
        </w:rPr>
        <w:footnoteReference w:id="6"/>
      </w:r>
      <w:r>
        <w:rPr>
          <w:sz w:val="28"/>
          <w:szCs w:val="28"/>
          <w:rtl w:val="0"/>
          <w:lang w:val="fr-FR"/>
        </w:rPr>
        <w:t xml:space="preserve"> ).</w:t>
      </w:r>
    </w:p>
    <w:p>
      <w:pPr>
        <w:pStyle w:val="Corps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La question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est toutefois pas encore suffisamment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claircie. Si </w:t>
      </w:r>
      <w:r>
        <w:rPr>
          <w:sz w:val="28"/>
          <w:szCs w:val="28"/>
          <w:rtl w:val="0"/>
          <w:lang w:val="de-DE"/>
        </w:rPr>
        <w:t>Ric</w:t>
      </w:r>
      <w:r>
        <w:rPr>
          <w:sz w:val="28"/>
          <w:szCs w:val="28"/>
          <w:rtl w:val="0"/>
          <w:lang w:val="fr-FR"/>
        </w:rPr>
        <w:t>œ</w:t>
      </w:r>
      <w:r>
        <w:rPr>
          <w:sz w:val="28"/>
          <w:szCs w:val="28"/>
          <w:rtl w:val="0"/>
        </w:rPr>
        <w:t>ur</w:t>
      </w:r>
      <w:r>
        <w:rPr>
          <w:sz w:val="28"/>
          <w:szCs w:val="28"/>
          <w:rtl w:val="0"/>
          <w:lang w:val="fr-FR"/>
        </w:rPr>
        <w:t xml:space="preserve"> peut avancer que :</w:t>
      </w:r>
      <w:r>
        <w:rPr>
          <w:sz w:val="28"/>
          <w:szCs w:val="28"/>
          <w:rtl w:val="0"/>
          <w:lang w:val="fr-FR"/>
        </w:rPr>
        <w:t> « 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La chair est l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origine de toute alt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ration du propre</w:t>
      </w:r>
      <w:r>
        <w:rPr>
          <w:rStyle w:val="Aucun"/>
          <w:i w:val="1"/>
          <w:iCs w:val="1"/>
          <w:sz w:val="28"/>
          <w:szCs w:val="28"/>
          <w:vertAlign w:val="superscript"/>
        </w:rPr>
        <w:footnoteReference w:id="7"/>
      </w:r>
      <w:r>
        <w:rPr>
          <w:sz w:val="28"/>
          <w:szCs w:val="28"/>
          <w:rtl w:val="0"/>
          <w:lang w:val="fr-FR"/>
        </w:rPr>
        <w:t> »</w:t>
      </w:r>
      <w:r>
        <w:rPr>
          <w:sz w:val="28"/>
          <w:szCs w:val="28"/>
          <w:rtl w:val="0"/>
          <w:lang w:val="fr-FR"/>
        </w:rPr>
        <w:t>, (entendez ici alt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ration en tant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alter,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est-</w:t>
      </w:r>
      <w:r>
        <w:rPr>
          <w:sz w:val="28"/>
          <w:szCs w:val="28"/>
          <w:rtl w:val="0"/>
          <w:lang w:val="fr-FR"/>
        </w:rPr>
        <w:t>à</w:t>
      </w:r>
      <w:r>
        <w:rPr>
          <w:sz w:val="28"/>
          <w:szCs w:val="28"/>
          <w:rtl w:val="0"/>
          <w:lang w:val="fr-FR"/>
        </w:rPr>
        <w:t>-dire que dans la langue,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 reste un moi alt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, donc n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cessairement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ficitaire.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bien cette polys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mie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alter qui alt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re que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on peut entendre comme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origine du racisme). Il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en reste pas moins cette difficult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que si un corps est mon corps,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est-</w:t>
      </w:r>
      <w:r>
        <w:rPr>
          <w:sz w:val="28"/>
          <w:szCs w:val="28"/>
          <w:rtl w:val="0"/>
          <w:lang w:val="fr-FR"/>
        </w:rPr>
        <w:t>à</w:t>
      </w:r>
      <w:r>
        <w:rPr>
          <w:sz w:val="28"/>
          <w:szCs w:val="28"/>
          <w:rtl w:val="0"/>
          <w:lang w:val="fr-FR"/>
        </w:rPr>
        <w:t>-dire chair, la chair est aussi un corps parmi les corps.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l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il trouve ce dont nous parlions lors du 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dent 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minaire,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savoir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il ne suffit pas de penser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 que moi comme un autre moi, mais aussi le soi comme un autre.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dire aussi que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on reste un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tranger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soi-m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me.</w:t>
      </w:r>
    </w:p>
    <w:p>
      <w:pPr>
        <w:pStyle w:val="Corps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 xml:space="preserve">Afin de poursuivre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partir de ce que nous am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 xml:space="preserve">ne </w:t>
      </w:r>
      <w:r>
        <w:rPr>
          <w:sz w:val="28"/>
          <w:szCs w:val="28"/>
          <w:rtl w:val="0"/>
          <w:lang w:val="de-DE"/>
        </w:rPr>
        <w:t>Ric</w:t>
      </w:r>
      <w:r>
        <w:rPr>
          <w:sz w:val="28"/>
          <w:szCs w:val="28"/>
          <w:rtl w:val="0"/>
          <w:lang w:val="fr-FR"/>
        </w:rPr>
        <w:t>œ</w:t>
      </w:r>
      <w:r>
        <w:rPr>
          <w:sz w:val="28"/>
          <w:szCs w:val="28"/>
          <w:rtl w:val="0"/>
        </w:rPr>
        <w:t>ur</w:t>
      </w:r>
      <w:r>
        <w:rPr>
          <w:sz w:val="28"/>
          <w:szCs w:val="28"/>
          <w:rtl w:val="0"/>
          <w:lang w:val="fr-FR"/>
        </w:rPr>
        <w:t>, il nous semble n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cessaire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aborder la question de la division du sujet et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travailler ce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il en est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Autre. Cela nous fait entrer dans une autre dimension que celle du moi freudien, puisque le sujet lacanien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pas repr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sentable; il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pas plus sp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cularisable, ce qui signifie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il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 pas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alt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rit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. Il se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rencie, ainsi, radicalement de cette instance imaginaire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le moi. Le sujet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a, alors, pas de rapport avec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autre,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alter ego, mais seulement avec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Autre. Il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a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fini par Lacan que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une seule mani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re: le sujet est ce qui repr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sent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 xml:space="preserve">par un signifiant pour un autre signifiant. Cela rend le sujet comme quelque chose de finalement impossible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appr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hender,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impensable. Par contre on peut en dire un peu plus sur les rapports du sujet avec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Autre, en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appuyant sur le texte de Lacan de 1960, paru dans les </w:t>
      </w:r>
      <w:r>
        <w:rPr>
          <w:sz w:val="28"/>
          <w:szCs w:val="28"/>
          <w:rtl w:val="0"/>
          <w:lang w:val="fr-FR"/>
        </w:rPr>
        <w:t>« É</w:t>
      </w:r>
      <w:r>
        <w:rPr>
          <w:sz w:val="28"/>
          <w:szCs w:val="28"/>
          <w:rtl w:val="0"/>
          <w:lang w:val="fr-FR"/>
        </w:rPr>
        <w:t>crits</w:t>
      </w:r>
      <w:r>
        <w:rPr>
          <w:sz w:val="28"/>
          <w:szCs w:val="28"/>
          <w:rtl w:val="0"/>
          <w:lang w:val="fr-FR"/>
        </w:rPr>
        <w:t> »</w:t>
      </w:r>
      <w:r>
        <w:rPr>
          <w:sz w:val="28"/>
          <w:szCs w:val="28"/>
          <w:rtl w:val="0"/>
          <w:lang w:val="fr-FR"/>
        </w:rPr>
        <w:t xml:space="preserve">: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Subversion du sujet et dialectique du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sir</w:t>
      </w:r>
      <w:r>
        <w:rPr>
          <w:sz w:val="28"/>
          <w:szCs w:val="28"/>
          <w:rtl w:val="0"/>
          <w:lang w:val="fr-FR"/>
        </w:rPr>
        <w:t> </w:t>
      </w:r>
      <w:r>
        <w:rPr>
          <w:rStyle w:val="Aucun"/>
          <w:sz w:val="28"/>
          <w:szCs w:val="28"/>
          <w:vertAlign w:val="superscript"/>
        </w:rPr>
        <w:footnoteReference w:id="8"/>
      </w:r>
      <w:r>
        <w:rPr>
          <w:sz w:val="28"/>
          <w:szCs w:val="28"/>
          <w:rtl w:val="0"/>
          <w:lang w:val="fr-FR"/>
        </w:rPr>
        <w:t>»</w:t>
      </w:r>
      <w:r>
        <w:rPr>
          <w:sz w:val="28"/>
          <w:szCs w:val="28"/>
          <w:rtl w:val="0"/>
          <w:lang w:val="fr-FR"/>
        </w:rPr>
        <w:t>.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 y est le tr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sor des signifiants,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ensemble de tous les signifiants, ensemble qui est dans une forme de compl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tude,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le lieu de la parole. Le sujet en se constituant va extraire de cet ensemble (A), un signifiant (S1), qui est celui qui va en tout premier repr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senter le sujet pour un autre signifiant (S2). Ce signifiant qui est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une certaine fa</w:t>
      </w:r>
      <w:r>
        <w:rPr>
          <w:sz w:val="28"/>
          <w:szCs w:val="28"/>
          <w:rtl w:val="0"/>
          <w:lang w:val="fr-FR"/>
        </w:rPr>
        <w:t>ç</w:t>
      </w:r>
      <w:r>
        <w:rPr>
          <w:sz w:val="28"/>
          <w:szCs w:val="28"/>
          <w:rtl w:val="0"/>
          <w:lang w:val="fr-FR"/>
        </w:rPr>
        <w:t>on le sujet, Lacan le nomme S(</w:t>
      </w:r>
      <w:r>
        <w:rPr>
          <w:rStyle w:val="Aucun"/>
          <w:rFonts w:ascii="LACAN" w:hAnsi="LACAN"/>
          <w:sz w:val="28"/>
          <w:szCs w:val="28"/>
          <w:rtl w:val="0"/>
          <w:lang w:val="fr-FR"/>
        </w:rPr>
        <w:t>A</w:t>
      </w:r>
      <w:r>
        <w:rPr>
          <w:sz w:val="28"/>
          <w:szCs w:val="28"/>
          <w:rtl w:val="0"/>
          <w:lang w:val="fr-FR"/>
        </w:rPr>
        <w:t xml:space="preserve">) </w:t>
      </w:r>
      <w:r>
        <w:rPr>
          <w:rStyle w:val="Aucun"/>
          <w:sz w:val="28"/>
          <w:szCs w:val="28"/>
          <w:vertAlign w:val="superscript"/>
        </w:rPr>
        <w:footnoteReference w:id="9"/>
      </w:r>
      <w:r>
        <w:rPr>
          <w:sz w:val="28"/>
          <w:szCs w:val="28"/>
          <w:rtl w:val="0"/>
          <w:lang w:val="fr-FR"/>
        </w:rPr>
        <w:t>. En effet,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extraction de ce signifiant, qui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un trait,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crit-il, repr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sentable par un (-1), a pour effet, pour cons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quence de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compl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ter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Autre. A devient ce ce fait </w:t>
      </w:r>
      <w:r>
        <w:rPr>
          <w:rStyle w:val="Aucun"/>
          <w:rFonts w:ascii="LACAN" w:hAnsi="LACAN"/>
          <w:sz w:val="28"/>
          <w:szCs w:val="28"/>
          <w:rtl w:val="0"/>
          <w:lang w:val="fr-FR"/>
        </w:rPr>
        <w:t>A</w:t>
      </w:r>
      <w:r>
        <w:rPr>
          <w:sz w:val="28"/>
          <w:szCs w:val="28"/>
          <w:rtl w:val="0"/>
          <w:lang w:val="fr-FR"/>
        </w:rPr>
        <w:t>.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est-ce que cela veut dire? Cela signifie qu</w:t>
      </w:r>
      <w:r>
        <w:rPr>
          <w:sz w:val="28"/>
          <w:szCs w:val="28"/>
          <w:rtl w:val="0"/>
          <w:lang w:val="fr-FR"/>
        </w:rPr>
        <w:t xml:space="preserve">’à </w:t>
      </w:r>
      <w:r>
        <w:rPr>
          <w:sz w:val="28"/>
          <w:szCs w:val="28"/>
          <w:rtl w:val="0"/>
          <w:lang w:val="fr-FR"/>
        </w:rPr>
        <w:t>partir du moment o</w:t>
      </w:r>
      <w:r>
        <w:rPr>
          <w:sz w:val="28"/>
          <w:szCs w:val="28"/>
          <w:rtl w:val="0"/>
          <w:lang w:val="fr-FR"/>
        </w:rPr>
        <w:t xml:space="preserve">ù </w:t>
      </w:r>
      <w:r>
        <w:rPr>
          <w:sz w:val="28"/>
          <w:szCs w:val="28"/>
          <w:rtl w:val="0"/>
          <w:lang w:val="fr-FR"/>
        </w:rPr>
        <w:t>il y a du sujet,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Autre, en quelque sorte le symbolique, ne peut plus garantir une permanence, une continuit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 xml:space="preserve">du sujet. Ainsi, le sujet doit sans cesse 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 xml:space="preserve">tre </w:t>
      </w:r>
      <w:r>
        <w:rPr>
          <w:sz w:val="28"/>
          <w:szCs w:val="28"/>
          <w:rtl w:val="0"/>
          <w:lang w:val="fr-FR"/>
        </w:rPr>
        <w:t>remis en place, il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est pas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tabli une fois pour toutes. Dans cette m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me logique, le symbolique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est pas pour le sujet non plus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tabli une fois pour toutes, il doit sans cesse 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tre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tabli, reconstitu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pour et par le sujet. Pour le dire autrement, il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y a pas de garantie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existence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Autre, ce que Lacan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crit S(</w:t>
      </w:r>
      <w:r>
        <w:rPr>
          <w:rStyle w:val="Aucun"/>
          <w:rFonts w:ascii="LACAN" w:hAnsi="LACAN"/>
          <w:sz w:val="28"/>
          <w:szCs w:val="28"/>
          <w:rtl w:val="0"/>
          <w:lang w:val="fr-FR"/>
        </w:rPr>
        <w:t>A</w:t>
      </w:r>
      <w:r>
        <w:rPr>
          <w:sz w:val="28"/>
          <w:szCs w:val="28"/>
          <w:rtl w:val="0"/>
          <w:lang w:val="fr-FR"/>
        </w:rPr>
        <w:t>), signifiant du manque dans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Autre. Un exemple clinique de ce matin: une analysante dit:</w:t>
      </w:r>
      <w:r>
        <w:rPr>
          <w:sz w:val="28"/>
          <w:szCs w:val="28"/>
          <w:rtl w:val="0"/>
          <w:lang w:val="fr-FR"/>
        </w:rPr>
        <w:t> « </w:t>
      </w:r>
      <w:r>
        <w:rPr>
          <w:sz w:val="28"/>
          <w:szCs w:val="28"/>
          <w:rtl w:val="0"/>
          <w:lang w:val="fr-FR"/>
        </w:rPr>
        <w:t>quand je souffre, je suis s</w:t>
      </w:r>
      <w:r>
        <w:rPr>
          <w:sz w:val="28"/>
          <w:szCs w:val="28"/>
          <w:rtl w:val="0"/>
          <w:lang w:val="fr-FR"/>
        </w:rPr>
        <w:t>û</w:t>
      </w:r>
      <w:r>
        <w:rPr>
          <w:sz w:val="28"/>
          <w:szCs w:val="28"/>
          <w:rtl w:val="0"/>
          <w:lang w:val="fr-FR"/>
        </w:rPr>
        <w:t>re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amour de ma m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re</w:t>
      </w:r>
      <w:r>
        <w:rPr>
          <w:sz w:val="28"/>
          <w:szCs w:val="28"/>
          <w:rtl w:val="0"/>
          <w:lang w:val="fr-FR"/>
        </w:rPr>
        <w:t> »</w:t>
      </w:r>
      <w:r>
        <w:rPr>
          <w:sz w:val="28"/>
          <w:szCs w:val="28"/>
          <w:rtl w:val="0"/>
          <w:lang w:val="fr-FR"/>
        </w:rPr>
        <w:t>. Sa souffrance vient lui garantir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elle est aim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e de sa m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re, et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pour elle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unique lieu o</w:t>
      </w:r>
      <w:r>
        <w:rPr>
          <w:sz w:val="28"/>
          <w:szCs w:val="28"/>
          <w:rtl w:val="0"/>
          <w:lang w:val="fr-FR"/>
        </w:rPr>
        <w:t xml:space="preserve">ù </w:t>
      </w:r>
      <w:r>
        <w:rPr>
          <w:sz w:val="28"/>
          <w:szCs w:val="28"/>
          <w:rtl w:val="0"/>
          <w:lang w:val="fr-FR"/>
        </w:rPr>
        <w:t>elle peut percevoir quelque chose de cet amour.</w:t>
      </w:r>
    </w:p>
    <w:p>
      <w:pPr>
        <w:pStyle w:val="Corps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 xml:space="preserve"> Que peut-on retenir de ce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veloppement compliqu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? Le sujet se constitue dans ce manque dans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Autre,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il cause en se constituant. On retrouve l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une constante de la logique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inconscient mise en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vidence par Freud, celle du nachtr</w:t>
      </w:r>
      <w:r>
        <w:rPr>
          <w:sz w:val="28"/>
          <w:szCs w:val="28"/>
          <w:rtl w:val="0"/>
          <w:lang w:val="fr-FR"/>
        </w:rPr>
        <w:t>ä</w:t>
      </w:r>
      <w:r>
        <w:rPr>
          <w:sz w:val="28"/>
          <w:szCs w:val="28"/>
          <w:rtl w:val="0"/>
          <w:lang w:val="fr-FR"/>
        </w:rPr>
        <w:t>glich,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apr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s-coup, illustr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dans la grammaire fran</w:t>
      </w:r>
      <w:r>
        <w:rPr>
          <w:sz w:val="28"/>
          <w:szCs w:val="28"/>
          <w:rtl w:val="0"/>
          <w:lang w:val="fr-FR"/>
        </w:rPr>
        <w:t>ç</w:t>
      </w:r>
      <w:r>
        <w:rPr>
          <w:sz w:val="28"/>
          <w:szCs w:val="28"/>
          <w:rtl w:val="0"/>
          <w:lang w:val="fr-FR"/>
        </w:rPr>
        <w:t>aise par le futur ant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rieur. De fa</w:t>
      </w:r>
      <w:r>
        <w:rPr>
          <w:sz w:val="28"/>
          <w:szCs w:val="28"/>
          <w:rtl w:val="0"/>
          <w:lang w:val="fr-FR"/>
        </w:rPr>
        <w:t>ç</w:t>
      </w:r>
      <w:r>
        <w:rPr>
          <w:sz w:val="28"/>
          <w:szCs w:val="28"/>
          <w:rtl w:val="0"/>
          <w:lang w:val="fr-FR"/>
        </w:rPr>
        <w:t xml:space="preserve">on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ce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on puisse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noncer :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il est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avoir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</w:t>
      </w:r>
      <w:r>
        <w:rPr>
          <w:sz w:val="28"/>
          <w:szCs w:val="28"/>
          <w:rtl w:val="0"/>
          <w:lang w:val="fr-FR"/>
        </w:rPr>
        <w:t>é »</w:t>
      </w:r>
      <w:r>
        <w:rPr>
          <w:sz w:val="28"/>
          <w:szCs w:val="28"/>
          <w:rtl w:val="0"/>
          <w:lang w:val="fr-FR"/>
        </w:rPr>
        <w:t>. Pour en donner un exemple, prenons celui de la constitution du traumatisme, tel que Freud le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veloppe. Le traumatisme se fait en deux temps: le premier est celui o</w:t>
      </w:r>
      <w:r>
        <w:rPr>
          <w:sz w:val="28"/>
          <w:szCs w:val="28"/>
          <w:rtl w:val="0"/>
          <w:lang w:val="fr-FR"/>
        </w:rPr>
        <w:t xml:space="preserve">ù </w:t>
      </w:r>
      <w:r>
        <w:rPr>
          <w:sz w:val="28"/>
          <w:szCs w:val="28"/>
          <w:rtl w:val="0"/>
          <w:lang w:val="fr-FR"/>
        </w:rPr>
        <w:t>se produit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action traumatique: par exemple une agression sexuelle sur un enfant, et le deuxi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me temps est celui o</w:t>
      </w:r>
      <w:r>
        <w:rPr>
          <w:sz w:val="28"/>
          <w:szCs w:val="28"/>
          <w:rtl w:val="0"/>
          <w:lang w:val="fr-FR"/>
        </w:rPr>
        <w:t xml:space="preserve">ù </w:t>
      </w:r>
      <w:r>
        <w:rPr>
          <w:sz w:val="28"/>
          <w:szCs w:val="28"/>
          <w:rtl w:val="0"/>
          <w:lang w:val="fr-FR"/>
        </w:rPr>
        <w:t>le traumatisme existe pour le sujet, o</w:t>
      </w:r>
      <w:r>
        <w:rPr>
          <w:sz w:val="28"/>
          <w:szCs w:val="28"/>
          <w:rtl w:val="0"/>
          <w:lang w:val="fr-FR"/>
        </w:rPr>
        <w:t xml:space="preserve">ù </w:t>
      </w:r>
      <w:r>
        <w:rPr>
          <w:sz w:val="28"/>
          <w:szCs w:val="28"/>
          <w:rtl w:val="0"/>
          <w:lang w:val="fr-FR"/>
        </w:rPr>
        <w:t>il prend sens. Dans notre exemple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agression sexuelle, il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agit du moment o</w:t>
      </w:r>
      <w:r>
        <w:rPr>
          <w:sz w:val="28"/>
          <w:szCs w:val="28"/>
          <w:rtl w:val="0"/>
          <w:lang w:val="fr-FR"/>
        </w:rPr>
        <w:t xml:space="preserve">ù </w:t>
      </w:r>
      <w:r>
        <w:rPr>
          <w:sz w:val="28"/>
          <w:szCs w:val="28"/>
          <w:rtl w:val="0"/>
          <w:lang w:val="fr-FR"/>
        </w:rPr>
        <w:t>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enfant ayant acc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 xml:space="preserve">s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la sexualit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adulte comprend ce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il lui est arriv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. Et </w:t>
      </w:r>
      <w:r>
        <w:rPr>
          <w:sz w:val="28"/>
          <w:szCs w:val="28"/>
          <w:rtl w:val="0"/>
          <w:lang w:val="fr-FR"/>
        </w:rPr>
        <w:t>ç</w:t>
      </w:r>
      <w:r>
        <w:rPr>
          <w:sz w:val="28"/>
          <w:szCs w:val="28"/>
          <w:rtl w:val="0"/>
          <w:lang w:val="fr-FR"/>
        </w:rPr>
        <w:t>a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que l</w:t>
      </w:r>
      <w:r>
        <w:rPr>
          <w:sz w:val="28"/>
          <w:szCs w:val="28"/>
          <w:rtl w:val="0"/>
          <w:lang w:val="fr-FR"/>
        </w:rPr>
        <w:t>à</w:t>
      </w:r>
      <w:r>
        <w:rPr>
          <w:sz w:val="28"/>
          <w:szCs w:val="28"/>
          <w:rtl w:val="0"/>
          <w:lang w:val="fr-FR"/>
        </w:rPr>
        <w:t>, que le traumatisme va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exprimer et en produire les sympt</w:t>
      </w:r>
      <w:r>
        <w:rPr>
          <w:sz w:val="28"/>
          <w:szCs w:val="28"/>
          <w:rtl w:val="0"/>
          <w:lang w:val="fr-FR"/>
        </w:rPr>
        <w:t>ô</w:t>
      </w:r>
      <w:r>
        <w:rPr>
          <w:sz w:val="28"/>
          <w:szCs w:val="28"/>
          <w:rtl w:val="0"/>
          <w:lang w:val="fr-FR"/>
        </w:rPr>
        <w:t xml:space="preserve">mes, qui peuvent 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tre des probl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mes, on dit aujourd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hui des troubles, sexuels.</w:t>
      </w:r>
    </w:p>
    <w:p>
      <w:pPr>
        <w:pStyle w:val="Corps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Cela permet de percevoir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extr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me intrication entre le sujet et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Autre. Il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y a pas de sujet sans Autre. Pour le petit enfant,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 est repr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sent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par la m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re, ou la personne qui remplit pour lui cette fonction. Si cet Autre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pas manquant, le sujet en devenir ne peut pas advenir. Cela veut dire que si la m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re est compl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te, voire compl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e par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enfant, celui-ci risque fort d</w:t>
      </w:r>
      <w:r>
        <w:rPr>
          <w:sz w:val="28"/>
          <w:szCs w:val="28"/>
          <w:rtl w:val="0"/>
          <w:lang w:val="fr-FR"/>
        </w:rPr>
        <w:t>’ê</w:t>
      </w:r>
      <w:r>
        <w:rPr>
          <w:sz w:val="28"/>
          <w:szCs w:val="28"/>
          <w:rtl w:val="0"/>
          <w:lang w:val="fr-FR"/>
        </w:rPr>
        <w:t>tre psychotique. Pour le dire autrement, si la m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re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pas manquante,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est-</w:t>
      </w:r>
      <w:r>
        <w:rPr>
          <w:sz w:val="28"/>
          <w:szCs w:val="28"/>
          <w:rtl w:val="0"/>
          <w:lang w:val="fr-FR"/>
        </w:rPr>
        <w:t>à</w:t>
      </w:r>
      <w:r>
        <w:rPr>
          <w:sz w:val="28"/>
          <w:szCs w:val="28"/>
          <w:rtl w:val="0"/>
          <w:lang w:val="fr-FR"/>
        </w:rPr>
        <w:t>-dire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sirante pour un autre objet que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enfant, cette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tape de la constitution du sujet ne peut pas se produire. Cela permet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entendre que le manque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le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sir et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ciproquement. Et comme nous venons de le voir, le manque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est-</w:t>
      </w:r>
      <w:r>
        <w:rPr>
          <w:sz w:val="28"/>
          <w:szCs w:val="28"/>
          <w:rtl w:val="0"/>
          <w:lang w:val="fr-FR"/>
        </w:rPr>
        <w:t>à</w:t>
      </w:r>
      <w:r>
        <w:rPr>
          <w:sz w:val="28"/>
          <w:szCs w:val="28"/>
          <w:rtl w:val="0"/>
          <w:lang w:val="fr-FR"/>
        </w:rPr>
        <w:t>-dire le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sir est dans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Autre. Ainsi, il appara</w:t>
      </w:r>
      <w:r>
        <w:rPr>
          <w:sz w:val="28"/>
          <w:szCs w:val="28"/>
          <w:rtl w:val="0"/>
          <w:lang w:val="fr-FR"/>
        </w:rPr>
        <w:t>î</w:t>
      </w:r>
      <w:r>
        <w:rPr>
          <w:sz w:val="28"/>
          <w:szCs w:val="28"/>
          <w:rtl w:val="0"/>
          <w:lang w:val="fr-FR"/>
        </w:rPr>
        <w:t>t que pour un sujet, le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sir est le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sir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Autre. Ce qui est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sir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pas un objet mais le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sir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Autre,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est-</w:t>
      </w:r>
      <w:r>
        <w:rPr>
          <w:sz w:val="28"/>
          <w:szCs w:val="28"/>
          <w:rtl w:val="0"/>
          <w:lang w:val="fr-FR"/>
        </w:rPr>
        <w:t>à</w:t>
      </w:r>
      <w:r>
        <w:rPr>
          <w:sz w:val="28"/>
          <w:szCs w:val="28"/>
          <w:rtl w:val="0"/>
          <w:lang w:val="fr-FR"/>
        </w:rPr>
        <w:t>-dire son manque, l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o</w:t>
      </w:r>
      <w:r>
        <w:rPr>
          <w:sz w:val="28"/>
          <w:szCs w:val="28"/>
          <w:rtl w:val="0"/>
          <w:lang w:val="fr-FR"/>
        </w:rPr>
        <w:t xml:space="preserve">ù </w:t>
      </w:r>
      <w:r>
        <w:rPr>
          <w:sz w:val="28"/>
          <w:szCs w:val="28"/>
          <w:rtl w:val="0"/>
          <w:lang w:val="fr-FR"/>
        </w:rPr>
        <w:t>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est pas complet. Dans ce texte de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Subversion du sujet et dialectique du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sir</w:t>
      </w:r>
      <w:r>
        <w:rPr>
          <w:sz w:val="28"/>
          <w:szCs w:val="28"/>
          <w:rtl w:val="0"/>
          <w:lang w:val="fr-FR"/>
        </w:rPr>
        <w:t> »</w:t>
      </w:r>
      <w:r>
        <w:rPr>
          <w:sz w:val="28"/>
          <w:szCs w:val="28"/>
          <w:rtl w:val="0"/>
          <w:lang w:val="fr-FR"/>
        </w:rPr>
        <w:t>, Lacan am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ne un ajout qui se trouve pleinement dans notre question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aujourd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hui: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le sujet comme un Autre</w:t>
      </w:r>
      <w:r>
        <w:rPr>
          <w:sz w:val="28"/>
          <w:szCs w:val="28"/>
          <w:rtl w:val="0"/>
          <w:lang w:val="fr-FR"/>
        </w:rPr>
        <w:t> »</w:t>
      </w:r>
      <w:r>
        <w:rPr>
          <w:sz w:val="28"/>
          <w:szCs w:val="28"/>
          <w:rtl w:val="0"/>
          <w:lang w:val="fr-FR"/>
        </w:rPr>
        <w:t>. En effet,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le sujet qui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sire et pas le moi ou le soi comme conscience de soi. Mais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o</w:t>
      </w:r>
      <w:r>
        <w:rPr>
          <w:sz w:val="28"/>
          <w:szCs w:val="28"/>
          <w:rtl w:val="0"/>
          <w:lang w:val="fr-FR"/>
        </w:rPr>
        <w:t>ù</w:t>
      </w:r>
      <w:r>
        <w:rPr>
          <w:sz w:val="28"/>
          <w:szCs w:val="28"/>
          <w:rtl w:val="0"/>
          <w:lang w:val="fr-FR"/>
        </w:rPr>
        <w:t>, de quelle place ce sujet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sire-t-il?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tr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s 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cis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ment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cette question que Lacan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pond. Il rappelle que:</w:t>
      </w:r>
      <w:r>
        <w:rPr>
          <w:sz w:val="28"/>
          <w:szCs w:val="28"/>
          <w:rtl w:val="0"/>
          <w:lang w:val="fr-FR"/>
        </w:rPr>
        <w:t> « 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l'inconscient est discours de l'Autre, o</w:t>
      </w:r>
      <w:r>
        <w:rPr>
          <w:rStyle w:val="Aucun"/>
          <w:i w:val="1"/>
          <w:iCs w:val="1"/>
          <w:sz w:val="28"/>
          <w:szCs w:val="28"/>
          <w:rtl w:val="0"/>
          <w:lang w:val="it-IT"/>
        </w:rPr>
        <w:t xml:space="preserve">ù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il faut entendre le de au sens du de latin (d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termination objective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)</w:t>
      </w:r>
      <w:r>
        <w:rPr>
          <w:sz w:val="28"/>
          <w:szCs w:val="28"/>
          <w:rtl w:val="0"/>
          <w:lang w:val="fr-FR"/>
        </w:rPr>
        <w:t> </w:t>
      </w:r>
      <w:r>
        <w:rPr>
          <w:rStyle w:val="Aucun"/>
          <w:sz w:val="28"/>
          <w:szCs w:val="28"/>
          <w:vertAlign w:val="superscript"/>
        </w:rPr>
        <w:footnoteReference w:id="10"/>
      </w:r>
      <w:r>
        <w:rPr>
          <w:sz w:val="28"/>
          <w:szCs w:val="28"/>
          <w:rtl w:val="0"/>
          <w:lang w:val="fr-FR"/>
        </w:rPr>
        <w:t>»</w:t>
      </w:r>
      <w:r>
        <w:rPr>
          <w:sz w:val="28"/>
          <w:szCs w:val="28"/>
          <w:rtl w:val="0"/>
          <w:lang w:val="fr-FR"/>
        </w:rPr>
        <w:t>. A entendre que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 par son discours qui produit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inconscient. Mais, il ajoute que:</w:t>
      </w:r>
      <w:r>
        <w:rPr>
          <w:sz w:val="28"/>
          <w:szCs w:val="28"/>
          <w:rtl w:val="0"/>
          <w:lang w:val="fr-FR"/>
        </w:rPr>
        <w:t> « 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le d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sir de l'homme est le d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sir de l'Autre, o</w:t>
      </w:r>
      <w:r>
        <w:rPr>
          <w:rStyle w:val="Aucun"/>
          <w:i w:val="1"/>
          <w:iCs w:val="1"/>
          <w:sz w:val="28"/>
          <w:szCs w:val="28"/>
          <w:rtl w:val="0"/>
          <w:lang w:val="it-IT"/>
        </w:rPr>
        <w:t xml:space="preserve">ù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le de donne la d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termination dite par les grammairiens subjective,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savoir que c'est en tant qu'Autre qu'il d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</w:rPr>
        <w:t>sire (ce qui donne la v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ritable port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e de la passion humaine)</w:t>
      </w:r>
      <w:r>
        <w:rPr>
          <w:rStyle w:val="Aucun"/>
          <w:i w:val="1"/>
          <w:iCs w:val="1"/>
          <w:sz w:val="28"/>
          <w:szCs w:val="28"/>
          <w:vertAlign w:val="superscript"/>
        </w:rPr>
        <w:footnoteReference w:id="11"/>
      </w:r>
      <w:r>
        <w:rPr>
          <w:sz w:val="28"/>
          <w:szCs w:val="28"/>
          <w:rtl w:val="0"/>
          <w:lang w:val="fr-FR"/>
        </w:rPr>
        <w:t> 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fr-FR"/>
        </w:rPr>
        <w:t xml:space="preserve"> Il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nonce, ici, clairement que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en tant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 que le sujet est manquant, que le sujet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sire. Autrement dit, ce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en tant que sujet divis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, barr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, que le sujet, si on peut dire,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sire. Il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y a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en tant que divis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il y a du sujet.</w:t>
      </w:r>
    </w:p>
    <w:p>
      <w:pPr>
        <w:pStyle w:val="Corps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Nous avons envisag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plusieurs aspects de la division du sujet. Tout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abord par la question du m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me, se divisant entre idem et ipse; o</w:t>
      </w:r>
      <w:r>
        <w:rPr>
          <w:sz w:val="28"/>
          <w:szCs w:val="28"/>
          <w:rtl w:val="0"/>
          <w:lang w:val="fr-FR"/>
        </w:rPr>
        <w:t xml:space="preserve">ù </w:t>
      </w:r>
      <w:r>
        <w:rPr>
          <w:sz w:val="28"/>
          <w:szCs w:val="28"/>
          <w:rtl w:val="0"/>
          <w:lang w:val="fr-FR"/>
        </w:rPr>
        <w:t>le sujet est pris dans une forme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indiff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renciation avec le moi (imaginaire), sur laquelle nous reviendrons tout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heure, en parlant du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sujet social</w:t>
      </w:r>
      <w:r>
        <w:rPr>
          <w:sz w:val="28"/>
          <w:szCs w:val="28"/>
          <w:rtl w:val="0"/>
          <w:lang w:val="fr-FR"/>
        </w:rPr>
        <w:t> »</w:t>
      </w:r>
      <w:r>
        <w:rPr>
          <w:sz w:val="28"/>
          <w:szCs w:val="28"/>
          <w:rtl w:val="0"/>
          <w:lang w:val="fr-FR"/>
        </w:rPr>
        <w:t>. Il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agit, l</w:t>
      </w:r>
      <w:r>
        <w:rPr>
          <w:sz w:val="28"/>
          <w:szCs w:val="28"/>
          <w:rtl w:val="0"/>
          <w:lang w:val="fr-FR"/>
        </w:rPr>
        <w:t>à</w:t>
      </w:r>
      <w:r>
        <w:rPr>
          <w:sz w:val="28"/>
          <w:szCs w:val="28"/>
          <w:rtl w:val="0"/>
          <w:lang w:val="fr-FR"/>
        </w:rPr>
        <w:t>, essentiellement, des rapports entre le moi et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autre.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ips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qui fait une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rence entre le moi ( ou le sujet ) et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autre.</w:t>
      </w:r>
    </w:p>
    <w:p>
      <w:pPr>
        <w:pStyle w:val="Corps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Puis, cette division subjective, dont Lacan parle le plus, celle caus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e par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introduction dans le langage. Cette division est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velopp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e selon deux axes: celui du signifiant ou le sujet est repr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sent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par un signifiant pour un autre signifiant, que nous venons d</w:t>
      </w:r>
      <w:r>
        <w:rPr>
          <w:sz w:val="28"/>
          <w:szCs w:val="28"/>
          <w:rtl w:val="0"/>
          <w:lang w:val="fr-FR"/>
        </w:rPr>
        <w:t>’é</w:t>
      </w:r>
      <w:r>
        <w:rPr>
          <w:sz w:val="28"/>
          <w:szCs w:val="28"/>
          <w:rtl w:val="0"/>
          <w:lang w:val="fr-FR"/>
        </w:rPr>
        <w:t>tudier dans ses rapport avec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Autre, celui qui conduit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l</w:t>
      </w:r>
      <w:r>
        <w:rPr>
          <w:sz w:val="28"/>
          <w:szCs w:val="28"/>
          <w:rtl w:val="0"/>
          <w:lang w:val="fr-FR"/>
        </w:rPr>
        <w:t>’é</w:t>
      </w:r>
      <w:r>
        <w:rPr>
          <w:sz w:val="28"/>
          <w:szCs w:val="28"/>
          <w:rtl w:val="0"/>
          <w:lang w:val="fr-FR"/>
        </w:rPr>
        <w:t>criture du sujet comme barr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LACAN" w:hAnsi="LACAN"/>
          <w:sz w:val="28"/>
          <w:szCs w:val="28"/>
          <w:rtl w:val="0"/>
          <w:lang w:val="fr-FR"/>
        </w:rPr>
        <w:t>S</w:t>
      </w:r>
      <w:r>
        <w:rPr>
          <w:sz w:val="28"/>
          <w:szCs w:val="28"/>
          <w:rtl w:val="0"/>
          <w:lang w:val="fr-FR"/>
        </w:rPr>
        <w:t xml:space="preserve"> et o</w:t>
      </w:r>
      <w:r>
        <w:rPr>
          <w:sz w:val="28"/>
          <w:szCs w:val="28"/>
          <w:rtl w:val="0"/>
          <w:lang w:val="fr-FR"/>
        </w:rPr>
        <w:t xml:space="preserve">ù </w:t>
      </w:r>
      <w:r>
        <w:rPr>
          <w:sz w:val="28"/>
          <w:szCs w:val="28"/>
          <w:rtl w:val="0"/>
          <w:lang w:val="fr-FR"/>
        </w:rPr>
        <w:t>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existence ( plus exactement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autorit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)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Autre ne peut pas 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tre garantie. Chaque sujet est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rent en tant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 signifiant est par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finition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rent de tous les autres signifiants. Est-ce ceci qui fait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rence?</w:t>
      </w:r>
    </w:p>
    <w:p>
      <w:pPr>
        <w:pStyle w:val="Corps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Le second axe est celui de la jouissance. Lors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introduction du langage, il y a une perte, celle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objet a, reste de la division, reste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entendre comme celui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une division arithm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tique. Le sujet y est coup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de sa jouissance avec la production du plus-de-jouir: nomm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aussi a, car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le m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me a que celui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fini comme cause du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sir. Le sujet est ainsi divis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par sa jouissance, car l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o</w:t>
      </w:r>
      <w:r>
        <w:rPr>
          <w:sz w:val="28"/>
          <w:szCs w:val="28"/>
          <w:rtl w:val="0"/>
          <w:lang w:val="fr-FR"/>
        </w:rPr>
        <w:t xml:space="preserve">ù </w:t>
      </w:r>
      <w:r>
        <w:rPr>
          <w:sz w:val="28"/>
          <w:szCs w:val="28"/>
          <w:rtl w:val="0"/>
          <w:lang w:val="fr-FR"/>
        </w:rPr>
        <w:t>il jouit, il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y a pas de sujet. La jouissance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effectuant hors langage. Quand la jouissance peut 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tre articul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e en signifiants, il ne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agit plus de jouissance mais de plaisir ou de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plaisir. Il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agit alors de bien autre chose. Freud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 pas parl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de jouissance mais de pulsion de mort. Le sujet est ainsi divis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par sa jouissance, pour autant celle-ci peut-elle permettre de faire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rence? Est-ce que la modalit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de jouissance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 sujet ou sa fa</w:t>
      </w:r>
      <w:r>
        <w:rPr>
          <w:sz w:val="28"/>
          <w:szCs w:val="28"/>
          <w:rtl w:val="0"/>
          <w:lang w:val="fr-FR"/>
        </w:rPr>
        <w:t>ç</w:t>
      </w:r>
      <w:r>
        <w:rPr>
          <w:sz w:val="28"/>
          <w:szCs w:val="28"/>
          <w:rtl w:val="0"/>
          <w:lang w:val="fr-FR"/>
        </w:rPr>
        <w:t>on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accepter une perte ( plus-de-jouir ) pourrait faire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rence? Sont ici en jeu des questions comme les addictions, la 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lancolie et les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pressions, la domination,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activit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et la passivit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etc. La liste est loin d</w:t>
      </w:r>
      <w:r>
        <w:rPr>
          <w:sz w:val="28"/>
          <w:szCs w:val="28"/>
          <w:rtl w:val="0"/>
          <w:lang w:val="fr-FR"/>
        </w:rPr>
        <w:t>’ê</w:t>
      </w:r>
      <w:r>
        <w:rPr>
          <w:sz w:val="28"/>
          <w:szCs w:val="28"/>
          <w:rtl w:val="0"/>
          <w:lang w:val="fr-FR"/>
        </w:rPr>
        <w:t>tre exhaustive.</w:t>
      </w:r>
    </w:p>
    <w:p>
      <w:pPr>
        <w:pStyle w:val="Corps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Le quatri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me et dernier aspect de la division que nous envisageons maintenant est celui, annonc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, entre ce que nous appelons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sujet social</w:t>
      </w:r>
      <w:r>
        <w:rPr>
          <w:sz w:val="28"/>
          <w:szCs w:val="28"/>
          <w:rtl w:val="0"/>
          <w:lang w:val="fr-FR"/>
        </w:rPr>
        <w:t xml:space="preserve"> » </w:t>
      </w:r>
      <w:r>
        <w:rPr>
          <w:sz w:val="28"/>
          <w:szCs w:val="28"/>
          <w:rtl w:val="0"/>
          <w:lang w:val="fr-FR"/>
        </w:rPr>
        <w:t>et le sujet tel que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fini par le signifiant, le sujet invent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par Lacan. Ce sujet, qui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donc pas repr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sentable, nous sert, souvent bien trop rapidement,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signer une personne, un 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tre-parlant. On dit un sujet, comme on pourrait dire un patient, un homme ou une femme. Est-on bien s</w:t>
      </w:r>
      <w:r>
        <w:rPr>
          <w:sz w:val="28"/>
          <w:szCs w:val="28"/>
          <w:rtl w:val="0"/>
          <w:lang w:val="fr-FR"/>
        </w:rPr>
        <w:t>û</w:t>
      </w:r>
      <w:r>
        <w:rPr>
          <w:sz w:val="28"/>
          <w:szCs w:val="28"/>
          <w:rtl w:val="0"/>
          <w:lang w:val="fr-FR"/>
        </w:rPr>
        <w:t>r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il y a du sujet?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j</w:t>
      </w:r>
      <w:r>
        <w:rPr>
          <w:sz w:val="28"/>
          <w:szCs w:val="28"/>
          <w:rtl w:val="0"/>
          <w:lang w:val="fr-FR"/>
        </w:rPr>
        <w:t>à</w:t>
      </w:r>
      <w:r>
        <w:rPr>
          <w:sz w:val="28"/>
          <w:szCs w:val="28"/>
          <w:rtl w:val="0"/>
          <w:lang w:val="fr-FR"/>
        </w:rPr>
        <w:t>, nous avons not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, que dans la jouissance il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y a pas de sujet et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galement que le sujet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existe pas dans la continuit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ou la permanence. Finalement, il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y a de sujet que par le langage. Un sujet se manifeste dans sa parole,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est-</w:t>
      </w:r>
      <w:r>
        <w:rPr>
          <w:sz w:val="28"/>
          <w:szCs w:val="28"/>
          <w:rtl w:val="0"/>
          <w:lang w:val="fr-FR"/>
        </w:rPr>
        <w:t>à</w:t>
      </w:r>
      <w:r>
        <w:rPr>
          <w:sz w:val="28"/>
          <w:szCs w:val="28"/>
          <w:rtl w:val="0"/>
          <w:lang w:val="fr-FR"/>
        </w:rPr>
        <w:t>-dire lorsqu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il est parl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par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Autre. On peut tr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s bien discuter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existence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 sujet, lorsque quelqu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 n</w:t>
      </w:r>
      <w:r>
        <w:rPr>
          <w:sz w:val="28"/>
          <w:szCs w:val="28"/>
          <w:rtl w:val="0"/>
          <w:lang w:val="fr-FR"/>
        </w:rPr>
        <w:t>‘</w:t>
      </w:r>
      <w:r>
        <w:rPr>
          <w:sz w:val="28"/>
          <w:szCs w:val="28"/>
          <w:rtl w:val="0"/>
          <w:lang w:val="fr-FR"/>
        </w:rPr>
        <w:t>a pas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inconscient. Ainsi, y a-t-il du sujet dans la psychose et dans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autisme? Puisque dans ces deux structures il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y a pas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Autre. Finalement, lorsque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on parle, dans le discours psychanalytique,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 sujet,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par pure convention, ce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une fa</w:t>
      </w:r>
      <w:r>
        <w:rPr>
          <w:sz w:val="28"/>
          <w:szCs w:val="28"/>
          <w:rtl w:val="0"/>
          <w:lang w:val="fr-FR"/>
        </w:rPr>
        <w:t>ç</w:t>
      </w:r>
      <w:r>
        <w:rPr>
          <w:sz w:val="28"/>
          <w:szCs w:val="28"/>
          <w:rtl w:val="0"/>
          <w:lang w:val="fr-FR"/>
        </w:rPr>
        <w:t>on de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signer une personne. Par exemple, lorsqu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 analysant parle sur le divan, on ne peut pas 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tendre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il y a en permanence du sujet qui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exprime, il y a aussi, comme le dit Lacan, de la parole vide.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finalement comme un abus de langage de parler sans cesse de sujet, si on ne fait pas remarquer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il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agit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une convention et de 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ciser de quel sujet on parle: sujet philosophique, sujet de l</w:t>
      </w:r>
      <w:r>
        <w:rPr>
          <w:sz w:val="28"/>
          <w:szCs w:val="28"/>
          <w:rtl w:val="0"/>
          <w:lang w:val="fr-FR"/>
        </w:rPr>
        <w:t>’é</w:t>
      </w:r>
      <w:r>
        <w:rPr>
          <w:sz w:val="28"/>
          <w:szCs w:val="28"/>
          <w:rtl w:val="0"/>
          <w:lang w:val="fr-FR"/>
        </w:rPr>
        <w:t>nonc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, sujet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inconscient, sujet de la science etc. Rappelons que l</w:t>
      </w:r>
      <w:r>
        <w:rPr>
          <w:sz w:val="28"/>
          <w:szCs w:val="28"/>
          <w:rtl w:val="0"/>
          <w:lang w:val="fr-FR"/>
        </w:rPr>
        <w:t>’é</w:t>
      </w:r>
      <w:r>
        <w:rPr>
          <w:sz w:val="28"/>
          <w:szCs w:val="28"/>
          <w:rtl w:val="0"/>
          <w:lang w:val="fr-FR"/>
        </w:rPr>
        <w:t>criture S(</w:t>
      </w:r>
      <w:r>
        <w:rPr>
          <w:rStyle w:val="Aucun"/>
          <w:rFonts w:ascii="LACAN" w:hAnsi="LACAN"/>
          <w:sz w:val="28"/>
          <w:szCs w:val="28"/>
          <w:rtl w:val="0"/>
          <w:lang w:val="fr-FR"/>
        </w:rPr>
        <w:t>A</w:t>
      </w:r>
      <w:r>
        <w:rPr>
          <w:sz w:val="28"/>
          <w:szCs w:val="28"/>
          <w:rtl w:val="0"/>
          <w:lang w:val="fr-FR"/>
        </w:rPr>
        <w:t>) signifie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il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y a pas de garantie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 et par cons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quent il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y a pas de garantie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il y ait du sujet. Donc, lorsque nous parlons de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sujet social</w:t>
      </w:r>
      <w:r>
        <w:rPr>
          <w:sz w:val="28"/>
          <w:szCs w:val="28"/>
          <w:rtl w:val="0"/>
          <w:lang w:val="fr-FR"/>
        </w:rPr>
        <w:t> »</w:t>
      </w:r>
      <w:r>
        <w:rPr>
          <w:sz w:val="28"/>
          <w:szCs w:val="28"/>
          <w:rtl w:val="0"/>
          <w:lang w:val="fr-FR"/>
        </w:rPr>
        <w:t>, il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agit bien entendu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une convention. Apr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s avoir longuement recherch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, nous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avons pas retrouv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 xml:space="preserve">cette expression de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sujet social</w:t>
      </w:r>
      <w:r>
        <w:rPr>
          <w:sz w:val="28"/>
          <w:szCs w:val="28"/>
          <w:rtl w:val="0"/>
          <w:lang w:val="fr-FR"/>
        </w:rPr>
        <w:t xml:space="preserve"> » </w:t>
      </w:r>
      <w:r>
        <w:rPr>
          <w:sz w:val="28"/>
          <w:szCs w:val="28"/>
          <w:rtl w:val="0"/>
          <w:lang w:val="fr-FR"/>
        </w:rPr>
        <w:t xml:space="preserve">chez Lacan. Il parle de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Je social</w:t>
      </w:r>
      <w:r>
        <w:rPr>
          <w:sz w:val="28"/>
          <w:szCs w:val="28"/>
          <w:rtl w:val="0"/>
          <w:lang w:val="fr-FR"/>
        </w:rPr>
        <w:t xml:space="preserve"> » </w:t>
      </w:r>
      <w:r>
        <w:rPr>
          <w:sz w:val="28"/>
          <w:szCs w:val="28"/>
          <w:rtl w:val="0"/>
          <w:lang w:val="fr-FR"/>
        </w:rPr>
        <w:t>dans le stade du miroir, et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est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cette expression que nous nous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rons en parlant de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sujet social</w:t>
      </w:r>
      <w:r>
        <w:rPr>
          <w:sz w:val="28"/>
          <w:szCs w:val="28"/>
          <w:rtl w:val="0"/>
          <w:lang w:val="fr-FR"/>
        </w:rPr>
        <w:t> »</w:t>
      </w:r>
      <w:r>
        <w:rPr>
          <w:sz w:val="28"/>
          <w:szCs w:val="28"/>
          <w:rtl w:val="0"/>
          <w:lang w:val="fr-FR"/>
        </w:rPr>
        <w:t>.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int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t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en parler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side dans le fait que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une part, dans la formation du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Je</w:t>
      </w:r>
      <w:r>
        <w:rPr>
          <w:sz w:val="28"/>
          <w:szCs w:val="28"/>
          <w:rtl w:val="0"/>
          <w:lang w:val="fr-FR"/>
        </w:rPr>
        <w:t> »</w:t>
      </w:r>
      <w:r>
        <w:rPr>
          <w:sz w:val="28"/>
          <w:szCs w:val="28"/>
          <w:rtl w:val="0"/>
          <w:lang w:val="fr-FR"/>
        </w:rPr>
        <w:t>, celui-ci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identifie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des signifiants, dans le langage courant on dit que le sujet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identifie, mais on voit mal comment une entit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aussi inappr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hendable que le sujet pourrait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identifier autrement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en donnant une importance particuli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 xml:space="preserve">re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certains signifiants ( S1 ).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est donc le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je</w:t>
      </w:r>
      <w:r>
        <w:rPr>
          <w:sz w:val="28"/>
          <w:szCs w:val="28"/>
          <w:rtl w:val="0"/>
          <w:lang w:val="fr-FR"/>
        </w:rPr>
        <w:t xml:space="preserve"> » </w:t>
      </w:r>
      <w:r>
        <w:rPr>
          <w:sz w:val="28"/>
          <w:szCs w:val="28"/>
          <w:rtl w:val="0"/>
          <w:lang w:val="fr-FR"/>
        </w:rPr>
        <w:t>plus que le sujet qui peut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identifier. Il ne peut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agir que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une formation sp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cularisable qui peut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identifier,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est-</w:t>
      </w:r>
      <w:r>
        <w:rPr>
          <w:sz w:val="28"/>
          <w:szCs w:val="28"/>
          <w:rtl w:val="0"/>
          <w:lang w:val="fr-FR"/>
        </w:rPr>
        <w:t>à</w:t>
      </w:r>
      <w:r>
        <w:rPr>
          <w:sz w:val="28"/>
          <w:szCs w:val="28"/>
          <w:rtl w:val="0"/>
          <w:lang w:val="fr-FR"/>
        </w:rPr>
        <w:t>-dire qui peut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imager, donc une instance au moins en partie imaginaire.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 part, si on reste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duit au moi, on ne peut plus travailler la question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Autre, qui est comme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affirme Lacan la matrice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al du moi.</w:t>
      </w:r>
    </w:p>
    <w:p>
      <w:pPr>
        <w:pStyle w:val="Corps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Donc, avec les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serves que nous avons mises, nous pouvons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tudier cette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division</w:t>
      </w:r>
      <w:r>
        <w:rPr>
          <w:sz w:val="28"/>
          <w:szCs w:val="28"/>
          <w:rtl w:val="0"/>
          <w:lang w:val="fr-FR"/>
        </w:rPr>
        <w:t xml:space="preserve"> » </w:t>
      </w:r>
      <w:r>
        <w:rPr>
          <w:sz w:val="28"/>
          <w:szCs w:val="28"/>
          <w:rtl w:val="0"/>
          <w:lang w:val="fr-FR"/>
        </w:rPr>
        <w:t xml:space="preserve">entre le sujet et le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sujet social</w:t>
      </w:r>
      <w:r>
        <w:rPr>
          <w:sz w:val="28"/>
          <w:szCs w:val="28"/>
          <w:rtl w:val="0"/>
          <w:lang w:val="fr-FR"/>
        </w:rPr>
        <w:t> »</w:t>
      </w:r>
      <w:r>
        <w:rPr>
          <w:sz w:val="28"/>
          <w:szCs w:val="28"/>
          <w:rtl w:val="0"/>
          <w:lang w:val="fr-FR"/>
        </w:rPr>
        <w:t>. Notre id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e est que se produit un ph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nom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ne en deux temps, non n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cessairement chronologiques. Un premier temps est celui de la formation du sujet, celui du bain langagier, o</w:t>
      </w:r>
      <w:r>
        <w:rPr>
          <w:sz w:val="28"/>
          <w:szCs w:val="28"/>
          <w:rtl w:val="0"/>
          <w:lang w:val="fr-FR"/>
        </w:rPr>
        <w:t xml:space="preserve">ù </w:t>
      </w:r>
      <w:r>
        <w:rPr>
          <w:sz w:val="28"/>
          <w:szCs w:val="28"/>
          <w:rtl w:val="0"/>
          <w:lang w:val="fr-FR"/>
        </w:rPr>
        <w:t xml:space="preserve">comme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voqu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plus t</w:t>
      </w:r>
      <w:r>
        <w:rPr>
          <w:sz w:val="28"/>
          <w:szCs w:val="28"/>
          <w:rtl w:val="0"/>
          <w:lang w:val="fr-FR"/>
        </w:rPr>
        <w:t>ô</w:t>
      </w:r>
      <w:r>
        <w:rPr>
          <w:sz w:val="28"/>
          <w:szCs w:val="28"/>
          <w:rtl w:val="0"/>
          <w:lang w:val="fr-FR"/>
        </w:rPr>
        <w:t>t, le sujet se constitue par et en causant le manque dans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Autre. Pour le dire autrement, ce temps structurant o</w:t>
      </w:r>
      <w:r>
        <w:rPr>
          <w:sz w:val="28"/>
          <w:szCs w:val="28"/>
          <w:rtl w:val="0"/>
          <w:lang w:val="fr-FR"/>
        </w:rPr>
        <w:t xml:space="preserve">ù </w:t>
      </w:r>
      <w:r>
        <w:rPr>
          <w:sz w:val="28"/>
          <w:szCs w:val="28"/>
          <w:rtl w:val="0"/>
          <w:lang w:val="fr-FR"/>
        </w:rPr>
        <w:t>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enfant est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sir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par la m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re qui lui parle. Cette m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re qui va donner un sens au vagissements du b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b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,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partir des signifiants qui la constituent, elle, comme sujet. Je me souviens, par exemple,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une m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re qui, venant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accoucher, disait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 xml:space="preserve">son enfant qui produisait des petits bruits: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tu fais des caprices</w:t>
      </w:r>
      <w:r>
        <w:rPr>
          <w:sz w:val="28"/>
          <w:szCs w:val="28"/>
          <w:rtl w:val="0"/>
          <w:lang w:val="fr-FR"/>
        </w:rPr>
        <w:t> »</w:t>
      </w:r>
      <w:r>
        <w:rPr>
          <w:sz w:val="28"/>
          <w:szCs w:val="28"/>
          <w:rtl w:val="0"/>
          <w:lang w:val="fr-FR"/>
        </w:rPr>
        <w:t xml:space="preserve">. On peut entendre que cet enfant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tait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j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projet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dans la question du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sir. Cet exemple est l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pour montrer que les premiers signifiants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enfant lui viennent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Autre maternel, ou de la ou des personne(s) qui rempli(ssen)t cette fonction. Le second temps est celui du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je</w:t>
      </w:r>
      <w:r>
        <w:rPr>
          <w:sz w:val="28"/>
          <w:szCs w:val="28"/>
          <w:rtl w:val="0"/>
          <w:lang w:val="fr-FR"/>
        </w:rPr>
        <w:t> </w:t>
      </w:r>
      <w:r>
        <w:rPr>
          <w:sz w:val="28"/>
          <w:szCs w:val="28"/>
          <w:rtl w:val="0"/>
          <w:lang w:val="fr-FR"/>
        </w:rPr>
        <w:t>social</w:t>
      </w:r>
      <w:r>
        <w:rPr>
          <w:sz w:val="28"/>
          <w:szCs w:val="28"/>
          <w:rtl w:val="0"/>
          <w:lang w:val="fr-FR"/>
        </w:rPr>
        <w:t> »</w:t>
      </w:r>
      <w:r>
        <w:rPr>
          <w:sz w:val="28"/>
          <w:szCs w:val="28"/>
          <w:rtl w:val="0"/>
          <w:lang w:val="fr-FR"/>
        </w:rPr>
        <w:t xml:space="preserve">, que nous appelons, ici, par convention,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sujet social</w:t>
      </w:r>
      <w:r>
        <w:rPr>
          <w:sz w:val="28"/>
          <w:szCs w:val="28"/>
          <w:rtl w:val="0"/>
          <w:lang w:val="fr-FR"/>
        </w:rPr>
        <w:t> »</w:t>
      </w:r>
      <w:r>
        <w:rPr>
          <w:sz w:val="28"/>
          <w:szCs w:val="28"/>
          <w:rtl w:val="0"/>
          <w:lang w:val="fr-FR"/>
        </w:rPr>
        <w:t>.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celui o</w:t>
      </w:r>
      <w:r>
        <w:rPr>
          <w:sz w:val="28"/>
          <w:szCs w:val="28"/>
          <w:rtl w:val="0"/>
          <w:lang w:val="fr-FR"/>
        </w:rPr>
        <w:t xml:space="preserve">ù </w:t>
      </w:r>
      <w:r>
        <w:rPr>
          <w:sz w:val="28"/>
          <w:szCs w:val="28"/>
          <w:rtl w:val="0"/>
          <w:lang w:val="fr-FR"/>
        </w:rPr>
        <w:t>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enfant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identifie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son image dans le miroir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il voit comme un autre, ceci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tant accompagn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des signifiants de la m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 xml:space="preserve">re qui lui dit :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toi</w:t>
      </w:r>
      <w:r>
        <w:rPr>
          <w:sz w:val="28"/>
          <w:szCs w:val="28"/>
          <w:rtl w:val="0"/>
          <w:lang w:val="fr-FR"/>
        </w:rPr>
        <w:t> »</w:t>
      </w:r>
      <w:r>
        <w:rPr>
          <w:sz w:val="28"/>
          <w:szCs w:val="28"/>
          <w:rtl w:val="0"/>
          <w:lang w:val="fr-FR"/>
        </w:rPr>
        <w:t>. Ce qui am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 xml:space="preserve">ne Lacan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dire que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enfant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identifie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un signifiant. Ce signifiant vient lui dire, lui montrer une image id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ale du moi, comment il doit 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tre.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 appara</w:t>
      </w:r>
      <w:r>
        <w:rPr>
          <w:sz w:val="28"/>
          <w:szCs w:val="28"/>
          <w:rtl w:val="0"/>
          <w:lang w:val="fr-FR"/>
        </w:rPr>
        <w:t>î</w:t>
      </w:r>
      <w:r>
        <w:rPr>
          <w:sz w:val="28"/>
          <w:szCs w:val="28"/>
          <w:rtl w:val="0"/>
          <w:lang w:val="fr-FR"/>
        </w:rPr>
        <w:t>t alors comme la matrice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al du moi.</w:t>
      </w:r>
    </w:p>
    <w:p>
      <w:pPr>
        <w:pStyle w:val="Corps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On peut noter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il y a un c</w:t>
      </w:r>
      <w:r>
        <w:rPr>
          <w:sz w:val="28"/>
          <w:szCs w:val="28"/>
          <w:rtl w:val="0"/>
          <w:lang w:val="fr-FR"/>
        </w:rPr>
        <w:t>ô</w:t>
      </w:r>
      <w:r>
        <w:rPr>
          <w:sz w:val="28"/>
          <w:szCs w:val="28"/>
          <w:rtl w:val="0"/>
          <w:lang w:val="fr-FR"/>
        </w:rPr>
        <w:t>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 xml:space="preserve">paradoxal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ce que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enfant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rige comme id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al du moi,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image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un autre, ceci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tant fix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par les signifiants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 Autre: la m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re. Cette matrice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al du moi va former ce que nous avons appel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 xml:space="preserve">le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sujet social</w:t>
      </w:r>
      <w:r>
        <w:rPr>
          <w:sz w:val="28"/>
          <w:szCs w:val="28"/>
          <w:rtl w:val="0"/>
          <w:lang w:val="fr-FR"/>
        </w:rPr>
        <w:t> »</w:t>
      </w:r>
      <w:r>
        <w:rPr>
          <w:sz w:val="28"/>
          <w:szCs w:val="28"/>
          <w:rtl w:val="0"/>
          <w:lang w:val="fr-FR"/>
        </w:rPr>
        <w:t xml:space="preserve">. En effet, ce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sujet social</w:t>
      </w:r>
      <w:r>
        <w:rPr>
          <w:sz w:val="28"/>
          <w:szCs w:val="28"/>
          <w:rtl w:val="0"/>
          <w:lang w:val="fr-FR"/>
        </w:rPr>
        <w:t xml:space="preserve"> » </w:t>
      </w:r>
      <w:r>
        <w:rPr>
          <w:sz w:val="28"/>
          <w:szCs w:val="28"/>
          <w:rtl w:val="0"/>
          <w:lang w:val="fr-FR"/>
        </w:rPr>
        <w:t xml:space="preserve">va chercher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 xml:space="preserve">se conformer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 xml:space="preserve">des normes,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 xml:space="preserve">des images,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ce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on lui apprend et ce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il pense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on attend de lui. Bref, il va se former, se conformer afin de ressembler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un autre, en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appuyant sur des signifiants parmi ceux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on lui propose. Par exemple: tu es un homme ou une femme,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o</w:t>
      </w:r>
      <w:r>
        <w:rPr>
          <w:sz w:val="28"/>
          <w:szCs w:val="28"/>
          <w:rtl w:val="0"/>
          <w:lang w:val="fr-FR"/>
        </w:rPr>
        <w:t xml:space="preserve">ù </w:t>
      </w:r>
      <w:r>
        <w:rPr>
          <w:sz w:val="28"/>
          <w:szCs w:val="28"/>
          <w:rtl w:val="0"/>
          <w:lang w:val="fr-FR"/>
        </w:rPr>
        <w:t xml:space="preserve">il apprend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faire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homme ou la femme. Finalement tout le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veloppement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un 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tre parlant se fait autour de deux p</w:t>
      </w:r>
      <w:r>
        <w:rPr>
          <w:sz w:val="28"/>
          <w:szCs w:val="28"/>
          <w:rtl w:val="0"/>
          <w:lang w:val="fr-FR"/>
        </w:rPr>
        <w:t>ô</w:t>
      </w:r>
      <w:r>
        <w:rPr>
          <w:sz w:val="28"/>
          <w:szCs w:val="28"/>
          <w:rtl w:val="0"/>
          <w:lang w:val="fr-FR"/>
        </w:rPr>
        <w:t>les.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un, le sujet qui se caract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rise par son c</w:t>
      </w:r>
      <w:r>
        <w:rPr>
          <w:sz w:val="28"/>
          <w:szCs w:val="28"/>
          <w:rtl w:val="0"/>
          <w:lang w:val="fr-FR"/>
        </w:rPr>
        <w:t>ô</w:t>
      </w:r>
      <w:r>
        <w:rPr>
          <w:sz w:val="28"/>
          <w:szCs w:val="28"/>
          <w:rtl w:val="0"/>
          <w:lang w:val="fr-FR"/>
        </w:rPr>
        <w:t>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insaisissable, ind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finissable et qui se constitue,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une certaine fa</w:t>
      </w:r>
      <w:r>
        <w:rPr>
          <w:sz w:val="28"/>
          <w:szCs w:val="28"/>
          <w:rtl w:val="0"/>
          <w:lang w:val="fr-FR"/>
        </w:rPr>
        <w:t>ç</w:t>
      </w:r>
      <w:r>
        <w:rPr>
          <w:sz w:val="28"/>
          <w:szCs w:val="28"/>
          <w:rtl w:val="0"/>
          <w:lang w:val="fr-FR"/>
        </w:rPr>
        <w:t xml:space="preserve">on,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partir de ce que Paul</w:t>
      </w:r>
      <w:r>
        <w:rPr>
          <w:sz w:val="28"/>
          <w:szCs w:val="28"/>
          <w:rtl w:val="0"/>
          <w:lang w:val="de-DE"/>
        </w:rPr>
        <w:t xml:space="preserve"> Ric</w:t>
      </w:r>
      <w:r>
        <w:rPr>
          <w:sz w:val="28"/>
          <w:szCs w:val="28"/>
          <w:rtl w:val="0"/>
          <w:lang w:val="fr-FR"/>
        </w:rPr>
        <w:t>œ</w:t>
      </w:r>
      <w:r>
        <w:rPr>
          <w:sz w:val="28"/>
          <w:szCs w:val="28"/>
          <w:rtl w:val="0"/>
        </w:rPr>
        <w:t>ur</w:t>
      </w:r>
      <w:r>
        <w:rPr>
          <w:sz w:val="28"/>
          <w:szCs w:val="28"/>
          <w:rtl w:val="0"/>
          <w:lang w:val="fr-FR"/>
        </w:rPr>
        <w:t xml:space="preserve"> a appel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la chair, le propre et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ips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it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. Et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autre, ce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sujet social</w:t>
      </w:r>
      <w:r>
        <w:rPr>
          <w:sz w:val="28"/>
          <w:szCs w:val="28"/>
          <w:rtl w:val="0"/>
          <w:lang w:val="fr-FR"/>
        </w:rPr>
        <w:t xml:space="preserve"> » </w:t>
      </w:r>
      <w:r>
        <w:rPr>
          <w:sz w:val="28"/>
          <w:szCs w:val="28"/>
          <w:rtl w:val="0"/>
          <w:lang w:val="fr-FR"/>
        </w:rPr>
        <w:t xml:space="preserve">qui se constitue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partir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A/autre(s) et qui va faire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 sujet sera adapt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au monde dans lequel il vit. Cette adaptation est 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cis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ment celle que Lacan a critiqu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e ( ce qui a entrain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son exclusion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IPA ) comme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tant un des fondement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ego psychologie,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une certaine psychanalyse anglo-saxonne. Le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sujet social</w:t>
      </w:r>
      <w:r>
        <w:rPr>
          <w:sz w:val="28"/>
          <w:szCs w:val="28"/>
          <w:rtl w:val="0"/>
          <w:lang w:val="fr-FR"/>
        </w:rPr>
        <w:t xml:space="preserve"> » </w:t>
      </w:r>
      <w:r>
        <w:rPr>
          <w:sz w:val="28"/>
          <w:szCs w:val="28"/>
          <w:rtl w:val="0"/>
          <w:lang w:val="fr-FR"/>
        </w:rPr>
        <w:t xml:space="preserve">est celui de la norme, celui qui cherche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ressembler aux autres, celui des id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aux desquels une cure analytique a justement pour r</w:t>
      </w:r>
      <w:r>
        <w:rPr>
          <w:sz w:val="28"/>
          <w:szCs w:val="28"/>
          <w:rtl w:val="0"/>
          <w:lang w:val="fr-FR"/>
        </w:rPr>
        <w:t>ô</w:t>
      </w:r>
      <w:r>
        <w:rPr>
          <w:sz w:val="28"/>
          <w:szCs w:val="28"/>
          <w:rtl w:val="0"/>
          <w:lang w:val="fr-FR"/>
        </w:rPr>
        <w:t>le de permettre de se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faire de ces ali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nations. Pour ce faire, la cure n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cessite de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effectuer autour de la notion de sujet, le sujet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fini par Lacan.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cela qui permet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arriver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autonomie, telle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en parle Paul</w:t>
      </w:r>
      <w:r>
        <w:rPr>
          <w:sz w:val="28"/>
          <w:szCs w:val="28"/>
          <w:rtl w:val="0"/>
          <w:lang w:val="de-DE"/>
        </w:rPr>
        <w:t xml:space="preserve"> Ric</w:t>
      </w:r>
      <w:r>
        <w:rPr>
          <w:sz w:val="28"/>
          <w:szCs w:val="28"/>
          <w:rtl w:val="0"/>
          <w:lang w:val="fr-FR"/>
        </w:rPr>
        <w:t>œ</w:t>
      </w:r>
      <w:r>
        <w:rPr>
          <w:sz w:val="28"/>
          <w:szCs w:val="28"/>
          <w:rtl w:val="0"/>
        </w:rPr>
        <w:t>ur</w:t>
      </w:r>
      <w:r>
        <w:rPr>
          <w:sz w:val="28"/>
          <w:szCs w:val="28"/>
          <w:rtl w:val="0"/>
          <w:lang w:val="fr-FR"/>
        </w:rPr>
        <w:t xml:space="preserve">. Il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crit: </w:t>
      </w:r>
      <w:r>
        <w:rPr>
          <w:sz w:val="28"/>
          <w:szCs w:val="28"/>
          <w:rtl w:val="0"/>
          <w:lang w:val="fr-FR"/>
        </w:rPr>
        <w:t xml:space="preserve">«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Quand l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autonomie substitue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Style w:val="Aucun"/>
          <w:i w:val="1"/>
          <w:iCs w:val="1"/>
          <w:sz w:val="28"/>
          <w:szCs w:val="28"/>
          <w:rtl w:val="0"/>
        </w:rPr>
        <w:t>l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</w:rPr>
        <w:t>ob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issance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Style w:val="Aucun"/>
          <w:i w:val="1"/>
          <w:iCs w:val="1"/>
          <w:sz w:val="28"/>
          <w:szCs w:val="28"/>
          <w:rtl w:val="0"/>
        </w:rPr>
        <w:t>l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autre l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</w:rPr>
        <w:t>ob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issance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Style w:val="Aucun"/>
          <w:i w:val="1"/>
          <w:iCs w:val="1"/>
          <w:sz w:val="28"/>
          <w:szCs w:val="28"/>
          <w:rtl w:val="0"/>
        </w:rPr>
        <w:t>soi-m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ê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me, l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</w:rPr>
        <w:t>ob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issance a perdu tout caract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è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re de d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pendance et de soumission. L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</w:rPr>
        <w:t>ob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issance v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ritable, pourrait-on dire, c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est l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autonomie</w:t>
      </w:r>
      <w:r>
        <w:rPr>
          <w:rStyle w:val="Aucun"/>
          <w:i w:val="1"/>
          <w:iCs w:val="1"/>
          <w:sz w:val="28"/>
          <w:szCs w:val="28"/>
          <w:vertAlign w:val="superscript"/>
        </w:rPr>
        <w:footnoteReference w:id="12"/>
      </w:r>
      <w:r>
        <w:rPr>
          <w:sz w:val="28"/>
          <w:szCs w:val="28"/>
          <w:rtl w:val="0"/>
          <w:lang w:val="fr-FR"/>
        </w:rPr>
        <w:t> »</w:t>
      </w:r>
      <w:r>
        <w:rPr>
          <w:sz w:val="28"/>
          <w:szCs w:val="28"/>
          <w:rtl w:val="0"/>
          <w:lang w:val="fr-FR"/>
        </w:rPr>
        <w:t>. On retrouve l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opposition classique entre le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sir du sujet et la contrainte sociale. Ce qui est remarquable est que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justement la confrontation entre ces deux pouss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es oppos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es, constituant pour </w:t>
      </w:r>
      <w:r>
        <w:rPr>
          <w:sz w:val="28"/>
          <w:szCs w:val="28"/>
          <w:rtl w:val="0"/>
          <w:lang w:val="de-DE"/>
        </w:rPr>
        <w:t>Ric</w:t>
      </w:r>
      <w:r>
        <w:rPr>
          <w:sz w:val="28"/>
          <w:szCs w:val="28"/>
          <w:rtl w:val="0"/>
          <w:lang w:val="fr-FR"/>
        </w:rPr>
        <w:t>œ</w:t>
      </w:r>
      <w:r>
        <w:rPr>
          <w:sz w:val="28"/>
          <w:szCs w:val="28"/>
          <w:rtl w:val="0"/>
        </w:rPr>
        <w:t>ur</w:t>
      </w:r>
      <w:r>
        <w:rPr>
          <w:sz w:val="28"/>
          <w:szCs w:val="28"/>
          <w:rtl w:val="0"/>
          <w:lang w:val="fr-FR"/>
        </w:rPr>
        <w:t xml:space="preserve"> la substance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ips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it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, qui g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n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re ce qui fait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rence:</w:t>
      </w:r>
      <w:r>
        <w:rPr>
          <w:sz w:val="28"/>
          <w:szCs w:val="28"/>
          <w:rtl w:val="0"/>
          <w:lang w:val="fr-FR"/>
        </w:rPr>
        <w:t> «</w:t>
      </w:r>
      <w:r>
        <w:rPr>
          <w:sz w:val="28"/>
          <w:szCs w:val="28"/>
          <w:rtl w:val="0"/>
        </w:rPr>
        <w:t xml:space="preserve"> </w:t>
      </w:r>
      <w:r>
        <w:rPr>
          <w:rStyle w:val="Aucun"/>
          <w:i w:val="1"/>
          <w:iCs w:val="1"/>
          <w:sz w:val="28"/>
          <w:szCs w:val="28"/>
          <w:rtl w:val="0"/>
        </w:rPr>
        <w:t>L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opposition entre autonomie et h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</w:rPr>
        <w:t>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ronomie est ainsi apparue comme constitutive de l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</w:rPr>
        <w:t>ips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</w:rPr>
        <w:t>it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morale</w:t>
      </w:r>
      <w:r>
        <w:rPr>
          <w:rStyle w:val="Aucun"/>
          <w:i w:val="1"/>
          <w:iCs w:val="1"/>
          <w:sz w:val="28"/>
          <w:szCs w:val="28"/>
          <w:vertAlign w:val="superscript"/>
        </w:rPr>
        <w:footnoteReference w:id="13"/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 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fr-FR"/>
        </w:rPr>
        <w:t xml:space="preserve"> Pour </w:t>
      </w:r>
      <w:r>
        <w:rPr>
          <w:sz w:val="28"/>
          <w:szCs w:val="28"/>
          <w:rtl w:val="0"/>
          <w:lang w:val="de-DE"/>
        </w:rPr>
        <w:t>Ric</w:t>
      </w:r>
      <w:r>
        <w:rPr>
          <w:sz w:val="28"/>
          <w:szCs w:val="28"/>
          <w:rtl w:val="0"/>
          <w:lang w:val="fr-FR"/>
        </w:rPr>
        <w:t>œ</w:t>
      </w:r>
      <w:r>
        <w:rPr>
          <w:sz w:val="28"/>
          <w:szCs w:val="28"/>
          <w:rtl w:val="0"/>
        </w:rPr>
        <w:t>ur</w:t>
      </w:r>
      <w:r>
        <w:rPr>
          <w:sz w:val="28"/>
          <w:szCs w:val="28"/>
          <w:rtl w:val="0"/>
          <w:lang w:val="fr-FR"/>
        </w:rPr>
        <w:t xml:space="preserve"> ( comme Aristote ), la morale concerne le social et l</w:t>
      </w:r>
      <w:r>
        <w:rPr>
          <w:sz w:val="28"/>
          <w:szCs w:val="28"/>
          <w:rtl w:val="0"/>
          <w:lang w:val="fr-FR"/>
        </w:rPr>
        <w:t>’é</w:t>
      </w:r>
      <w:r>
        <w:rPr>
          <w:sz w:val="28"/>
          <w:szCs w:val="28"/>
          <w:rtl w:val="0"/>
          <w:lang w:val="fr-FR"/>
        </w:rPr>
        <w:t>thique concerne le sujet. Ainsi, pour lui, la fa</w:t>
      </w:r>
      <w:r>
        <w:rPr>
          <w:sz w:val="28"/>
          <w:szCs w:val="28"/>
          <w:rtl w:val="0"/>
          <w:lang w:val="fr-FR"/>
        </w:rPr>
        <w:t>ç</w:t>
      </w:r>
      <w:r>
        <w:rPr>
          <w:sz w:val="28"/>
          <w:szCs w:val="28"/>
          <w:rtl w:val="0"/>
          <w:lang w:val="fr-FR"/>
        </w:rPr>
        <w:t>on, voire pourquoi pas le style,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allier la morale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l</w:t>
      </w:r>
      <w:r>
        <w:rPr>
          <w:sz w:val="28"/>
          <w:szCs w:val="28"/>
          <w:rtl w:val="0"/>
          <w:lang w:val="fr-FR"/>
        </w:rPr>
        <w:t>’é</w:t>
      </w:r>
      <w:r>
        <w:rPr>
          <w:sz w:val="28"/>
          <w:szCs w:val="28"/>
          <w:rtl w:val="0"/>
          <w:lang w:val="fr-FR"/>
        </w:rPr>
        <w:t>thique, et donc le sujet et le social fait une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rence, et est propre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chacun. Mais est-cela qui fait une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rence essentialis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e?</w:t>
      </w:r>
    </w:p>
    <w:p>
      <w:pPr>
        <w:pStyle w:val="Corps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Nous avons montr</w:t>
      </w:r>
      <w:r>
        <w:rPr>
          <w:sz w:val="28"/>
          <w:szCs w:val="28"/>
          <w:rtl w:val="0"/>
          <w:lang w:val="fr-FR"/>
        </w:rPr>
        <w:t xml:space="preserve">é à </w:t>
      </w:r>
      <w:r>
        <w:rPr>
          <w:sz w:val="28"/>
          <w:szCs w:val="28"/>
          <w:rtl w:val="0"/>
          <w:lang w:val="fr-FR"/>
        </w:rPr>
        <w:t>quel point l</w:t>
      </w:r>
      <w:r>
        <w:rPr>
          <w:sz w:val="28"/>
          <w:szCs w:val="28"/>
          <w:rtl w:val="0"/>
          <w:lang w:val="fr-FR"/>
        </w:rPr>
        <w:t>’ê</w:t>
      </w:r>
      <w:r>
        <w:rPr>
          <w:sz w:val="28"/>
          <w:szCs w:val="28"/>
          <w:rtl w:val="0"/>
          <w:lang w:val="fr-FR"/>
        </w:rPr>
        <w:t>tre parlant peut se confondre avec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A/autre. Et aussi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quel point, la recherche de ce qui fait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rence est complexe. Cela permet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entendre la n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cessit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avoir une identit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qui permette de donner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e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 minimum de coh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rence,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une forme (gestalt) et de soutenir le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je</w:t>
      </w:r>
      <w:r>
        <w:rPr>
          <w:sz w:val="28"/>
          <w:szCs w:val="28"/>
          <w:rtl w:val="0"/>
          <w:lang w:val="fr-FR"/>
        </w:rPr>
        <w:t xml:space="preserve"> » </w:t>
      </w:r>
      <w:r>
        <w:rPr>
          <w:sz w:val="28"/>
          <w:szCs w:val="28"/>
          <w:rtl w:val="0"/>
          <w:lang w:val="fr-FR"/>
        </w:rPr>
        <w:t>de l</w:t>
      </w:r>
      <w:r>
        <w:rPr>
          <w:sz w:val="28"/>
          <w:szCs w:val="28"/>
          <w:rtl w:val="0"/>
          <w:lang w:val="fr-FR"/>
        </w:rPr>
        <w:t>’é</w:t>
      </w:r>
      <w:r>
        <w:rPr>
          <w:sz w:val="28"/>
          <w:szCs w:val="28"/>
          <w:rtl w:val="0"/>
          <w:lang w:val="fr-FR"/>
        </w:rPr>
        <w:t>nonc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, du discours. Il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agit du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je</w:t>
      </w:r>
      <w:r>
        <w:rPr>
          <w:sz w:val="28"/>
          <w:szCs w:val="28"/>
          <w:rtl w:val="0"/>
          <w:lang w:val="fr-FR"/>
        </w:rPr>
        <w:t xml:space="preserve"> » </w:t>
      </w:r>
      <w:r>
        <w:rPr>
          <w:sz w:val="28"/>
          <w:szCs w:val="28"/>
          <w:rtl w:val="0"/>
          <w:lang w:val="fr-FR"/>
        </w:rPr>
        <w:t>de l</w:t>
      </w:r>
      <w:r>
        <w:rPr>
          <w:sz w:val="28"/>
          <w:szCs w:val="28"/>
          <w:rtl w:val="0"/>
          <w:lang w:val="fr-FR"/>
        </w:rPr>
        <w:t>’é</w:t>
      </w:r>
      <w:r>
        <w:rPr>
          <w:sz w:val="28"/>
          <w:szCs w:val="28"/>
          <w:rtl w:val="0"/>
          <w:lang w:val="fr-FR"/>
        </w:rPr>
        <w:t>nonc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 xml:space="preserve">car, </w:t>
      </w:r>
      <w:r>
        <w:rPr>
          <w:sz w:val="28"/>
          <w:szCs w:val="28"/>
          <w:rtl w:val="0"/>
          <w:lang w:val="fr-FR"/>
        </w:rPr>
        <w:t>comme nous l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fr-FR"/>
        </w:rPr>
        <w:t>avons dit plus t</w:t>
      </w:r>
      <w:r>
        <w:rPr>
          <w:sz w:val="28"/>
          <w:szCs w:val="28"/>
          <w:rtl w:val="0"/>
        </w:rPr>
        <w:t>ô</w:t>
      </w:r>
      <w:r>
        <w:rPr>
          <w:sz w:val="28"/>
          <w:szCs w:val="28"/>
          <w:rtl w:val="0"/>
        </w:rPr>
        <w:t>t</w:t>
      </w:r>
      <w:r>
        <w:rPr>
          <w:sz w:val="28"/>
          <w:szCs w:val="28"/>
          <w:rtl w:val="0"/>
          <w:lang w:val="fr-FR"/>
        </w:rPr>
        <w:t>,</w:t>
      </w:r>
      <w:r>
        <w:rPr>
          <w:sz w:val="28"/>
          <w:szCs w:val="28"/>
          <w:rtl w:val="0"/>
          <w:lang w:val="fr-FR"/>
        </w:rPr>
        <w:t xml:space="preserve"> le </w:t>
      </w:r>
      <w:r>
        <w:rPr>
          <w:sz w:val="28"/>
          <w:szCs w:val="28"/>
          <w:rtl w:val="0"/>
        </w:rPr>
        <w:t>« </w:t>
      </w:r>
      <w:r>
        <w:rPr>
          <w:sz w:val="28"/>
          <w:szCs w:val="28"/>
          <w:rtl w:val="0"/>
        </w:rPr>
        <w:t>je</w:t>
      </w:r>
      <w:r>
        <w:rPr>
          <w:sz w:val="28"/>
          <w:szCs w:val="28"/>
          <w:rtl w:val="0"/>
          <w:lang w:val="it-IT"/>
        </w:rPr>
        <w:t xml:space="preserve"> » </w:t>
      </w:r>
      <w:r>
        <w:rPr>
          <w:sz w:val="28"/>
          <w:szCs w:val="28"/>
          <w:rtl w:val="0"/>
          <w:lang w:val="fr-FR"/>
        </w:rPr>
        <w:t>de l</w:t>
      </w:r>
      <w:r>
        <w:rPr>
          <w:sz w:val="28"/>
          <w:szCs w:val="28"/>
          <w:rtl w:val="0"/>
          <w:lang w:val="fr-FR"/>
        </w:rPr>
        <w:t>’é</w:t>
      </w:r>
      <w:r>
        <w:rPr>
          <w:sz w:val="28"/>
          <w:szCs w:val="28"/>
          <w:rtl w:val="0"/>
          <w:lang w:val="fr-FR"/>
        </w:rPr>
        <w:t>nonciation vient de l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fr-FR"/>
        </w:rPr>
        <w:t>Autre</w:t>
      </w:r>
      <w:r>
        <w:rPr>
          <w:sz w:val="28"/>
          <w:szCs w:val="28"/>
          <w:rtl w:val="0"/>
          <w:lang w:val="fr-FR"/>
        </w:rPr>
        <w:t>. Et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une deuxi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me fonction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identit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 xml:space="preserve">qui constitue un semblant, une illusion, visant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 xml:space="preserve">masquer le fait que le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je</w:t>
      </w:r>
      <w:r>
        <w:rPr>
          <w:sz w:val="28"/>
          <w:szCs w:val="28"/>
          <w:rtl w:val="0"/>
          <w:lang w:val="fr-FR"/>
        </w:rPr>
        <w:t xml:space="preserve"> » </w:t>
      </w:r>
      <w:r>
        <w:rPr>
          <w:sz w:val="28"/>
          <w:szCs w:val="28"/>
          <w:rtl w:val="0"/>
          <w:lang w:val="fr-FR"/>
        </w:rPr>
        <w:t>de l</w:t>
      </w:r>
      <w:r>
        <w:rPr>
          <w:sz w:val="28"/>
          <w:szCs w:val="28"/>
          <w:rtl w:val="0"/>
          <w:lang w:val="fr-FR"/>
        </w:rPr>
        <w:t>’é</w:t>
      </w:r>
      <w:r>
        <w:rPr>
          <w:sz w:val="28"/>
          <w:szCs w:val="28"/>
          <w:rtl w:val="0"/>
          <w:lang w:val="fr-FR"/>
        </w:rPr>
        <w:t>nonciation vient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Autre. </w:t>
      </w:r>
    </w:p>
    <w:p>
      <w:pPr>
        <w:pStyle w:val="Corps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 xml:space="preserve">Nous allons, alors,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tudier cette question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identit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, en ce qui concerne notre th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me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A/autre, en nous appuyant sur le travail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 autre philosophe: Cl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ment Rosset</w:t>
      </w:r>
      <w:r>
        <w:rPr>
          <w:rStyle w:val="Aucun"/>
          <w:sz w:val="28"/>
          <w:szCs w:val="28"/>
          <w:vertAlign w:val="superscript"/>
        </w:rPr>
        <w:footnoteReference w:id="14"/>
      </w:r>
      <w:r>
        <w:rPr>
          <w:sz w:val="28"/>
          <w:szCs w:val="28"/>
          <w:rtl w:val="0"/>
          <w:lang w:val="fr-FR"/>
        </w:rPr>
        <w:t>. Il distingue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une certaine fa</w:t>
      </w:r>
      <w:r>
        <w:rPr>
          <w:sz w:val="28"/>
          <w:szCs w:val="28"/>
          <w:rtl w:val="0"/>
          <w:lang w:val="fr-FR"/>
        </w:rPr>
        <w:t>ç</w:t>
      </w:r>
      <w:r>
        <w:rPr>
          <w:sz w:val="28"/>
          <w:szCs w:val="28"/>
          <w:rtl w:val="0"/>
          <w:lang w:val="fr-FR"/>
        </w:rPr>
        <w:t>on deux formes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identit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: ce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il appelle</w:t>
      </w:r>
      <w:r>
        <w:rPr>
          <w:sz w:val="28"/>
          <w:szCs w:val="28"/>
          <w:rtl w:val="0"/>
          <w:lang w:val="fr-FR"/>
        </w:rPr>
        <w:t> </w:t>
      </w:r>
      <w:r>
        <w:rPr>
          <w:sz w:val="28"/>
          <w:szCs w:val="28"/>
          <w:rtl w:val="0"/>
          <w:lang w:val="fr-FR"/>
        </w:rPr>
        <w:t>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identit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personnelle et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identit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 xml:space="preserve">sociale, correspondant pour lui,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la 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-identit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 xml:space="preserve">et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identit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elle qui est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identit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 xml:space="preserve">sociale . En effet, il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crit:</w:t>
      </w:r>
      <w:r>
        <w:rPr>
          <w:sz w:val="28"/>
          <w:szCs w:val="28"/>
          <w:rtl w:val="0"/>
          <w:lang w:val="fr-FR"/>
        </w:rPr>
        <w:t xml:space="preserve"> «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J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ai toujours tenu l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identit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sociale pour la seule identit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r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elle; et l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autre, la pr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tendue identit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personnelle, pour une illusion totale autant que tenace</w:t>
      </w:r>
      <w:r>
        <w:rPr>
          <w:sz w:val="28"/>
          <w:szCs w:val="28"/>
          <w:rtl w:val="0"/>
          <w:lang w:val="fr-FR"/>
        </w:rPr>
        <w:t> </w:t>
      </w:r>
      <w:r>
        <w:rPr>
          <w:rStyle w:val="Aucun"/>
          <w:sz w:val="28"/>
          <w:szCs w:val="28"/>
          <w:vertAlign w:val="superscript"/>
        </w:rPr>
        <w:footnoteReference w:id="15"/>
      </w:r>
      <w:r>
        <w:rPr>
          <w:sz w:val="28"/>
          <w:szCs w:val="28"/>
          <w:rtl w:val="0"/>
          <w:lang w:val="fr-FR"/>
        </w:rPr>
        <w:t>»</w:t>
      </w:r>
      <w:r>
        <w:rPr>
          <w:sz w:val="28"/>
          <w:szCs w:val="28"/>
          <w:rtl w:val="0"/>
          <w:lang w:val="fr-FR"/>
        </w:rPr>
        <w:t>. mais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appelle-t-il identit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 xml:space="preserve">personnelle? </w:t>
      </w:r>
      <w:r>
        <w:rPr>
          <w:sz w:val="28"/>
          <w:szCs w:val="28"/>
          <w:rtl w:val="0"/>
          <w:lang w:val="fr-FR"/>
        </w:rPr>
        <w:t xml:space="preserve">«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On pourrait aussi appeler cette identit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personnelle, tenue pour premi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è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re et ant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rieure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toute identit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sociale, identit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 « 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pr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-identitaire</w:t>
      </w:r>
      <w:r>
        <w:rPr>
          <w:sz w:val="28"/>
          <w:szCs w:val="28"/>
          <w:rtl w:val="0"/>
          <w:lang w:val="fr-FR"/>
        </w:rPr>
        <w:t> » </w:t>
      </w:r>
      <w:r>
        <w:rPr>
          <w:rStyle w:val="Aucun"/>
          <w:sz w:val="28"/>
          <w:szCs w:val="28"/>
          <w:vertAlign w:val="superscript"/>
        </w:rPr>
        <w:footnoteReference w:id="16"/>
      </w:r>
      <w:r>
        <w:rPr>
          <w:sz w:val="28"/>
          <w:szCs w:val="28"/>
          <w:rtl w:val="0"/>
          <w:lang w:val="fr-FR"/>
        </w:rPr>
        <w:t>»</w:t>
      </w:r>
      <w:r>
        <w:rPr>
          <w:sz w:val="28"/>
          <w:szCs w:val="28"/>
          <w:rtl w:val="0"/>
          <w:lang w:val="fr-FR"/>
        </w:rPr>
        <w:t>. Pour lui, cette identit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personnelle est ant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rieure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toue reconnaissance sociale, elle a un caract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 xml:space="preserve">re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naturel</w:t>
      </w:r>
      <w:r>
        <w:rPr>
          <w:sz w:val="28"/>
          <w:szCs w:val="28"/>
          <w:rtl w:val="0"/>
          <w:lang w:val="fr-FR"/>
        </w:rPr>
        <w:t xml:space="preserve"> » </w:t>
      </w:r>
      <w:r>
        <w:rPr>
          <w:sz w:val="28"/>
          <w:szCs w:val="28"/>
          <w:rtl w:val="0"/>
          <w:lang w:val="fr-FR"/>
        </w:rPr>
        <w:t>et non conventionnel, un caract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re unique et non composite. Cette identit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repose sur le moi de telle sorte que:</w:t>
      </w:r>
      <w:r>
        <w:rPr>
          <w:sz w:val="28"/>
          <w:szCs w:val="28"/>
          <w:rtl w:val="0"/>
          <w:lang w:val="fr-FR"/>
        </w:rPr>
        <w:t> « 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Le moi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« 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pr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-identitaire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 »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appara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î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t ainsi comme le moi vrai et authentique, le moi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« 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identitaire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 »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(ou social) comme un moi conventionnel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 </w:t>
      </w:r>
      <w:r>
        <w:rPr>
          <w:rStyle w:val="Aucun"/>
          <w:sz w:val="28"/>
          <w:szCs w:val="28"/>
          <w:vertAlign w:val="superscript"/>
        </w:rPr>
        <w:footnoteReference w:id="17"/>
      </w:r>
      <w:r>
        <w:rPr>
          <w:sz w:val="28"/>
          <w:szCs w:val="28"/>
          <w:rtl w:val="0"/>
          <w:lang w:val="fr-FR"/>
        </w:rPr>
        <w:t>»</w:t>
      </w:r>
      <w:r>
        <w:rPr>
          <w:sz w:val="28"/>
          <w:szCs w:val="28"/>
          <w:rtl w:val="0"/>
          <w:lang w:val="fr-FR"/>
        </w:rPr>
        <w:t>. Ainsi, il y a une 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-identit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qui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existe pas mais qui est suppos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e, ( on pourrait dire qui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existe que dans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apr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s-coup ) qui ne change pas, que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on ne peut pas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finir, et qui affirme que je ne suis pas un autre. Et une identit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sociale, dite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elle, qui peut 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tre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autre, car elle est toujours une identit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emprunt. Il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crit cette belle phrase:</w:t>
      </w:r>
      <w:r>
        <w:rPr>
          <w:sz w:val="28"/>
          <w:szCs w:val="28"/>
          <w:rtl w:val="0"/>
          <w:lang w:val="fr-FR"/>
        </w:rPr>
        <w:t xml:space="preserve"> «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Ce manque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à ê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tre de l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identit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personnelle trouve son palliatif le plus ordinaire dans l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acquisition d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une identit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d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emprunt. L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imitation de l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autre permet seule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ma personnalit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de se constituer</w:t>
      </w:r>
      <w:r>
        <w:rPr>
          <w:sz w:val="28"/>
          <w:szCs w:val="28"/>
          <w:rtl w:val="0"/>
          <w:lang w:val="fr-FR"/>
        </w:rPr>
        <w:t> </w:t>
      </w:r>
      <w:r>
        <w:rPr>
          <w:rStyle w:val="Aucun"/>
          <w:sz w:val="28"/>
          <w:szCs w:val="28"/>
          <w:vertAlign w:val="superscript"/>
        </w:rPr>
        <w:footnoteReference w:id="18"/>
      </w:r>
      <w:r>
        <w:rPr>
          <w:sz w:val="28"/>
          <w:szCs w:val="28"/>
          <w:rtl w:val="0"/>
          <w:lang w:val="fr-FR"/>
        </w:rPr>
        <w:t>»</w:t>
      </w:r>
      <w:r>
        <w:rPr>
          <w:sz w:val="28"/>
          <w:szCs w:val="28"/>
          <w:rtl w:val="0"/>
          <w:lang w:val="fr-FR"/>
        </w:rPr>
        <w:t>. Ainsi, il affirme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inanit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de toute recherche de son identit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personnelle</w:t>
      </w:r>
      <w:r>
        <w:rPr>
          <w:rStyle w:val="Aucun"/>
          <w:sz w:val="28"/>
          <w:szCs w:val="28"/>
          <w:vertAlign w:val="superscript"/>
        </w:rPr>
        <w:footnoteReference w:id="19"/>
      </w:r>
      <w:r>
        <w:rPr>
          <w:sz w:val="28"/>
          <w:szCs w:val="28"/>
          <w:rtl w:val="0"/>
          <w:lang w:val="fr-FR"/>
        </w:rPr>
        <w:t>. Nous reviendrons l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dessus avec Delphine Horvilleur. Remarquons, toutefois, que ce que Rosset am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ne sur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identit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personnelle, a certaines ressemblances avec notre question du sujet, dans son aspect insaisissable, dans le fait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on ne puisse pas le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finir et comme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opposant au social. Pour lui,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identit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propre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existe pas en tant que telle; ce que nous pourrions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noncer ainsi: le sujet est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ordre du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el,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impensable.</w:t>
      </w:r>
    </w:p>
    <w:p>
      <w:pPr>
        <w:pStyle w:val="Corps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 xml:space="preserve"> Ainsi, les signifiants sur lesquels repose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identit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, les signifiants auxquels le sujet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imagine 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tre identifi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, sont des signifiants particuliers. Ils se 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sentent comme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ils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taient des signifiants ma</w:t>
      </w:r>
      <w:r>
        <w:rPr>
          <w:sz w:val="28"/>
          <w:szCs w:val="28"/>
          <w:rtl w:val="0"/>
          <w:lang w:val="fr-FR"/>
        </w:rPr>
        <w:t>î</w:t>
      </w:r>
      <w:r>
        <w:rPr>
          <w:sz w:val="28"/>
          <w:szCs w:val="28"/>
          <w:rtl w:val="0"/>
          <w:lang w:val="fr-FR"/>
        </w:rPr>
        <w:t>tres, des S1, tels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ils puissent 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tre en mesure de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terminer le sujet. En fait, ce ne sont que des signifiants quelconques, des S2, des signifiants pris dans les cha</w:t>
      </w:r>
      <w:r>
        <w:rPr>
          <w:sz w:val="28"/>
          <w:szCs w:val="28"/>
          <w:rtl w:val="0"/>
          <w:lang w:val="fr-FR"/>
        </w:rPr>
        <w:t>î</w:t>
      </w:r>
      <w:r>
        <w:rPr>
          <w:sz w:val="28"/>
          <w:szCs w:val="28"/>
          <w:rtl w:val="0"/>
          <w:lang w:val="fr-FR"/>
        </w:rPr>
        <w:t>nes signifiantes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 sujet. En effet, si on pense que les signifiants homme et femmes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terminent des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rences essentielles entre les sujets, comme c</w:t>
      </w:r>
      <w:r>
        <w:rPr>
          <w:sz w:val="28"/>
          <w:szCs w:val="28"/>
          <w:rtl w:val="0"/>
          <w:lang w:val="fr-FR"/>
        </w:rPr>
        <w:t>’é</w:t>
      </w:r>
      <w:r>
        <w:rPr>
          <w:sz w:val="28"/>
          <w:szCs w:val="28"/>
          <w:rtl w:val="0"/>
          <w:lang w:val="fr-FR"/>
        </w:rPr>
        <w:t>tait encore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cemment le cas dans le discours psychanalytique, on peut 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tendre que ces signifiants sont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terminants dans la constitution du sujet. Les th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ories du genre sont venues nous permettre de remettre en question la place de ces signifiants, qui ne sont finalement que des signifiants que nous appelons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signifiants sociaux</w:t>
      </w:r>
      <w:r>
        <w:rPr>
          <w:sz w:val="28"/>
          <w:szCs w:val="28"/>
          <w:rtl w:val="0"/>
          <w:lang w:val="fr-FR"/>
        </w:rPr>
        <w:t> »</w:t>
      </w:r>
      <w:r>
        <w:rPr>
          <w:sz w:val="28"/>
          <w:szCs w:val="28"/>
          <w:rtl w:val="0"/>
          <w:lang w:val="fr-FR"/>
        </w:rPr>
        <w:t>, car ils ne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terminent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une identit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sociale. Cette identit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sociale est n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cessaire pour maintenir en place un semblant, dont on sait que la fonction consiste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recouvrir le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el. Et, ici, ce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el est le sujet, puisqu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on ne peut rien en dire sauf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remarquer le lieu, l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o</w:t>
      </w:r>
      <w:r>
        <w:rPr>
          <w:sz w:val="28"/>
          <w:szCs w:val="28"/>
          <w:rtl w:val="0"/>
          <w:lang w:val="fr-FR"/>
        </w:rPr>
        <w:t xml:space="preserve">ù </w:t>
      </w:r>
      <w:r>
        <w:rPr>
          <w:sz w:val="28"/>
          <w:szCs w:val="28"/>
          <w:rtl w:val="0"/>
          <w:lang w:val="fr-FR"/>
        </w:rPr>
        <w:t xml:space="preserve">il se manifeste. Pour 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tre plus 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cis, les signifiants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identit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, sont des images pour autant que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identit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une formation imaginaire, c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est-</w:t>
      </w:r>
      <w:r>
        <w:rPr>
          <w:sz w:val="28"/>
          <w:szCs w:val="28"/>
          <w:rtl w:val="0"/>
          <w:lang w:val="fr-FR"/>
        </w:rPr>
        <w:t>à</w:t>
      </w:r>
      <w:r>
        <w:rPr>
          <w:sz w:val="28"/>
          <w:szCs w:val="28"/>
          <w:rtl w:val="0"/>
          <w:lang w:val="fr-FR"/>
        </w:rPr>
        <w:t>-dire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ils ne sont pas pris comme des signifiants, mais comme des images. Les signifiants du processus identificatoire ne sont pas, eux,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ductibles,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une image.</w:t>
      </w:r>
    </w:p>
    <w:p>
      <w:pPr>
        <w:pStyle w:val="Corps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Nous allons, maintenant, pour en terminer aujourd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hui avec ce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il en est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identit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, en venir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ce texte magnifique de Delphine Horvilleur sur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identit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rStyle w:val="Aucun"/>
          <w:sz w:val="28"/>
          <w:szCs w:val="28"/>
          <w:vertAlign w:val="superscript"/>
        </w:rPr>
        <w:footnoteReference w:id="20"/>
      </w:r>
      <w:r>
        <w:rPr>
          <w:sz w:val="28"/>
          <w:szCs w:val="28"/>
          <w:rtl w:val="0"/>
          <w:lang w:val="fr-FR"/>
        </w:rPr>
        <w:t xml:space="preserve">. Il en sera simplement lu quelques extraits qui se passent de commentaires. </w:t>
      </w:r>
      <w:r>
        <w:rPr>
          <w:sz w:val="28"/>
          <w:szCs w:val="28"/>
          <w:rtl w:val="0"/>
          <w:lang w:val="fr-FR"/>
        </w:rPr>
        <w:t xml:space="preserve">«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Il est permis et salutaire de ne pas se laisser d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finir par son nom ou sa naissance. Permis et salutaire de se glisser dans la peau d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un autre qui n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a rien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voir avez nous. Permis et salutaire de juger un homme pour ce qu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il fait et non pour ce dont il h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it-IT"/>
        </w:rPr>
        <w:t>rite. D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exiger pour l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autre une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galit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, non pas parce qu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il est comme nous, mais pr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</w:rPr>
        <w:t>cis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ment parce qu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il n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est pas comme nous, et que son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</w:rPr>
        <w:t>tranget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nous oblige</w:t>
      </w:r>
      <w:r>
        <w:rPr>
          <w:sz w:val="28"/>
          <w:szCs w:val="28"/>
          <w:rtl w:val="0"/>
          <w:lang w:val="fr-FR"/>
        </w:rPr>
        <w:t> </w:t>
      </w:r>
      <w:r>
        <w:rPr>
          <w:rStyle w:val="Aucun"/>
          <w:sz w:val="28"/>
          <w:szCs w:val="28"/>
          <w:vertAlign w:val="superscript"/>
        </w:rPr>
        <w:footnoteReference w:id="21"/>
      </w:r>
      <w:r>
        <w:rPr>
          <w:sz w:val="28"/>
          <w:szCs w:val="28"/>
          <w:rtl w:val="0"/>
          <w:lang w:val="fr-FR"/>
        </w:rPr>
        <w:t>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fr-FR"/>
        </w:rPr>
        <w:t xml:space="preserve"> Et de 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ciser en ce qui concerne </w:t>
      </w:r>
      <w:r>
        <w:rPr>
          <w:sz w:val="28"/>
          <w:szCs w:val="28"/>
          <w:rtl w:val="0"/>
          <w:lang w:val="fr-FR"/>
        </w:rPr>
        <w:t>« </w:t>
      </w:r>
      <w:r>
        <w:rPr>
          <w:sz w:val="28"/>
          <w:szCs w:val="28"/>
          <w:rtl w:val="0"/>
          <w:lang w:val="fr-FR"/>
        </w:rPr>
        <w:t>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identit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juive</w:t>
      </w:r>
      <w:r>
        <w:rPr>
          <w:sz w:val="28"/>
          <w:szCs w:val="28"/>
          <w:rtl w:val="0"/>
          <w:lang w:val="fr-FR"/>
        </w:rPr>
        <w:t> »</w:t>
      </w:r>
      <w:r>
        <w:rPr>
          <w:sz w:val="28"/>
          <w:szCs w:val="28"/>
          <w:rtl w:val="0"/>
          <w:lang w:val="fr-FR"/>
        </w:rPr>
        <w:t>:</w:t>
      </w:r>
      <w:r>
        <w:rPr>
          <w:sz w:val="28"/>
          <w:szCs w:val="28"/>
          <w:rtl w:val="0"/>
          <w:lang w:val="fr-FR"/>
        </w:rPr>
        <w:t> «</w:t>
      </w:r>
      <w:r>
        <w:rPr>
          <w:sz w:val="28"/>
          <w:szCs w:val="28"/>
          <w:rtl w:val="0"/>
        </w:rPr>
        <w:t xml:space="preserve">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Les juifs se sont toujours d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brouill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s pour que la d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finition de leur juda</w:t>
      </w:r>
      <w:r>
        <w:rPr>
          <w:rStyle w:val="Aucun"/>
          <w:i w:val="1"/>
          <w:iCs w:val="1"/>
          <w:sz w:val="28"/>
          <w:szCs w:val="28"/>
          <w:rtl w:val="0"/>
          <w:lang w:val="nl-NL"/>
        </w:rPr>
        <w:t>ï</w:t>
      </w:r>
      <w:r>
        <w:rPr>
          <w:rStyle w:val="Aucun"/>
          <w:i w:val="1"/>
          <w:iCs w:val="1"/>
          <w:sz w:val="28"/>
          <w:szCs w:val="28"/>
          <w:rtl w:val="0"/>
        </w:rPr>
        <w:t xml:space="preserve">sme - ce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quoi </w:t>
      </w:r>
      <w:r>
        <w:rPr>
          <w:rStyle w:val="Aucun"/>
          <w:i w:val="1"/>
          <w:iCs w:val="1"/>
          <w:sz w:val="28"/>
          <w:szCs w:val="28"/>
          <w:rtl w:val="0"/>
          <w:lang w:val="pt-PT"/>
        </w:rPr>
        <w:t>« ç</w:t>
      </w:r>
      <w:r>
        <w:rPr>
          <w:rStyle w:val="Aucun"/>
          <w:i w:val="1"/>
          <w:iCs w:val="1"/>
          <w:sz w:val="28"/>
          <w:szCs w:val="28"/>
          <w:rtl w:val="0"/>
        </w:rPr>
        <w:t>a</w:t>
      </w:r>
      <w:r>
        <w:rPr>
          <w:rStyle w:val="Aucun"/>
          <w:i w:val="1"/>
          <w:iCs w:val="1"/>
          <w:sz w:val="28"/>
          <w:szCs w:val="28"/>
          <w:rtl w:val="0"/>
          <w:lang w:val="it-IT"/>
        </w:rPr>
        <w:t xml:space="preserve"> »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tient- reste un ind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finissable, un au-del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de la naissance, de la croyance ou d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une quelconque pratique. (..) Le juda</w:t>
      </w:r>
      <w:r>
        <w:rPr>
          <w:rStyle w:val="Aucun"/>
          <w:i w:val="1"/>
          <w:iCs w:val="1"/>
          <w:sz w:val="28"/>
          <w:szCs w:val="28"/>
          <w:rtl w:val="0"/>
          <w:lang w:val="nl-NL"/>
        </w:rPr>
        <w:t>ï</w:t>
      </w:r>
      <w:r>
        <w:rPr>
          <w:rStyle w:val="Aucun"/>
          <w:i w:val="1"/>
          <w:iCs w:val="1"/>
          <w:sz w:val="28"/>
          <w:szCs w:val="28"/>
          <w:rtl w:val="0"/>
        </w:rPr>
        <w:t>sme s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assure en toute circonstance que la question de l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identit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 é</w:t>
      </w:r>
      <w:r>
        <w:rPr>
          <w:rStyle w:val="Aucun"/>
          <w:i w:val="1"/>
          <w:iCs w:val="1"/>
          <w:sz w:val="28"/>
          <w:szCs w:val="28"/>
          <w:rtl w:val="0"/>
          <w:lang w:val="nl-NL"/>
        </w:rPr>
        <w:t xml:space="preserve">chappe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toute r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solution, et ne tol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è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re aucune d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finition d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en-US"/>
        </w:rPr>
        <w:t>finitive</w:t>
      </w:r>
      <w:r>
        <w:rPr>
          <w:sz w:val="28"/>
          <w:szCs w:val="28"/>
          <w:rtl w:val="0"/>
          <w:lang w:val="fr-FR"/>
        </w:rPr>
        <w:t> </w:t>
      </w:r>
      <w:r>
        <w:rPr>
          <w:rStyle w:val="Aucun"/>
          <w:sz w:val="28"/>
          <w:szCs w:val="28"/>
          <w:vertAlign w:val="superscript"/>
        </w:rPr>
        <w:footnoteReference w:id="22"/>
      </w:r>
      <w:r>
        <w:rPr>
          <w:sz w:val="28"/>
          <w:szCs w:val="28"/>
          <w:rtl w:val="0"/>
          <w:lang w:val="fr-FR"/>
        </w:rPr>
        <w:t>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fr-FR"/>
        </w:rPr>
        <w:t xml:space="preserve"> Et aussi:</w:t>
      </w:r>
      <w:r>
        <w:rPr>
          <w:sz w:val="28"/>
          <w:szCs w:val="28"/>
          <w:rtl w:val="0"/>
          <w:lang w:val="fr-FR"/>
        </w:rPr>
        <w:t> «</w:t>
      </w:r>
      <w:r>
        <w:rPr>
          <w:sz w:val="28"/>
          <w:szCs w:val="28"/>
          <w:rtl w:val="0"/>
        </w:rPr>
        <w:t xml:space="preserve">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Comme un homme qui veut toujours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ê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tre l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autre parce qu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il n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y a que comme </w:t>
      </w:r>
      <w:r>
        <w:rPr>
          <w:rStyle w:val="Aucun"/>
          <w:i w:val="1"/>
          <w:iCs w:val="1"/>
          <w:sz w:val="28"/>
          <w:szCs w:val="28"/>
          <w:rtl w:val="0"/>
          <w:lang w:val="pt-PT"/>
        </w:rPr>
        <w:t>ç</w:t>
      </w:r>
      <w:r>
        <w:rPr>
          <w:rStyle w:val="Aucun"/>
          <w:i w:val="1"/>
          <w:iCs w:val="1"/>
          <w:sz w:val="28"/>
          <w:szCs w:val="28"/>
          <w:rtl w:val="0"/>
          <w:lang w:val="es-ES_tradnl"/>
        </w:rPr>
        <w:t>a qu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il a une chance d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’ê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tre lui-m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ê</w:t>
      </w:r>
      <w:r>
        <w:rPr>
          <w:rStyle w:val="Aucun"/>
          <w:i w:val="1"/>
          <w:iCs w:val="1"/>
          <w:sz w:val="28"/>
          <w:szCs w:val="28"/>
          <w:rtl w:val="0"/>
        </w:rPr>
        <w:t>me</w:t>
      </w:r>
      <w:r>
        <w:rPr>
          <w:sz w:val="28"/>
          <w:szCs w:val="28"/>
          <w:rtl w:val="0"/>
          <w:lang w:val="fr-FR"/>
        </w:rPr>
        <w:t> </w:t>
      </w:r>
      <w:r>
        <w:rPr>
          <w:rStyle w:val="Aucun"/>
          <w:sz w:val="28"/>
          <w:szCs w:val="28"/>
          <w:vertAlign w:val="superscript"/>
        </w:rPr>
        <w:footnoteReference w:id="23"/>
      </w:r>
      <w:r>
        <w:rPr>
          <w:sz w:val="28"/>
          <w:szCs w:val="28"/>
          <w:rtl w:val="0"/>
          <w:lang w:val="fr-FR"/>
        </w:rPr>
        <w:t>»</w:t>
      </w:r>
      <w:r>
        <w:rPr>
          <w:sz w:val="28"/>
          <w:szCs w:val="28"/>
          <w:rtl w:val="0"/>
          <w:lang w:val="fr-FR"/>
        </w:rPr>
        <w:t xml:space="preserve">; </w:t>
      </w:r>
      <w:r>
        <w:rPr>
          <w:sz w:val="28"/>
          <w:szCs w:val="28"/>
          <w:rtl w:val="0"/>
          <w:lang w:val="fr-FR"/>
        </w:rPr>
        <w:t>«</w:t>
      </w:r>
      <w:r>
        <w:rPr>
          <w:sz w:val="28"/>
          <w:szCs w:val="28"/>
          <w:rtl w:val="0"/>
        </w:rPr>
        <w:t xml:space="preserve">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Il me manque toujours un truc pour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ê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tre vraiment moi. Et gr</w:t>
      </w:r>
      <w:r>
        <w:rPr>
          <w:rStyle w:val="Aucun"/>
          <w:i w:val="1"/>
          <w:iCs w:val="1"/>
          <w:sz w:val="28"/>
          <w:szCs w:val="28"/>
          <w:rtl w:val="0"/>
        </w:rPr>
        <w:t>â</w:t>
      </w:r>
      <w:r>
        <w:rPr>
          <w:rStyle w:val="Aucun"/>
          <w:i w:val="1"/>
          <w:iCs w:val="1"/>
          <w:sz w:val="28"/>
          <w:szCs w:val="28"/>
          <w:rtl w:val="0"/>
        </w:rPr>
        <w:t xml:space="preserve">ce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à ç</w:t>
      </w:r>
      <w:r>
        <w:rPr>
          <w:rStyle w:val="Aucun"/>
          <w:i w:val="1"/>
          <w:iCs w:val="1"/>
          <w:sz w:val="28"/>
          <w:szCs w:val="28"/>
          <w:rtl w:val="0"/>
        </w:rPr>
        <w:t>a, je n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ai aucun probl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è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me d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identit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. Je me suis d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barrass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de cette id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es-ES_tradnl"/>
        </w:rPr>
        <w:t>e morbide qu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il y aurait une possibilit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8"/>
          <w:szCs w:val="28"/>
          <w:rtl w:val="0"/>
        </w:rPr>
        <w:t>d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’ê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tre vraiment soi. A chaque fois que, dans un moment de panique, je crois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ê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tre moi, il y a un bout de moi - et pas n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importe lequel- qui me dit: euh non, pas tout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fait</w:t>
      </w:r>
      <w:r>
        <w:rPr>
          <w:sz w:val="28"/>
          <w:szCs w:val="28"/>
          <w:rtl w:val="0"/>
          <w:lang w:val="fr-FR"/>
        </w:rPr>
        <w:t> </w:t>
      </w:r>
      <w:r>
        <w:rPr>
          <w:rStyle w:val="Aucun"/>
          <w:sz w:val="28"/>
          <w:szCs w:val="28"/>
          <w:vertAlign w:val="superscript"/>
        </w:rPr>
        <w:footnoteReference w:id="24"/>
      </w:r>
      <w:r>
        <w:rPr>
          <w:sz w:val="28"/>
          <w:szCs w:val="28"/>
          <w:rtl w:val="0"/>
          <w:lang w:val="fr-FR"/>
        </w:rPr>
        <w:t>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fr-FR"/>
        </w:rPr>
        <w:t xml:space="preserve"> Et de conclure:</w:t>
      </w:r>
      <w:r>
        <w:rPr>
          <w:sz w:val="28"/>
          <w:szCs w:val="28"/>
          <w:rtl w:val="0"/>
          <w:lang w:val="fr-FR"/>
        </w:rPr>
        <w:t> «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 En fait,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 il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 faudrait pouvoir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ê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tre toujours en chemin. Pour lutter efficacement contre </w:t>
      </w:r>
      <w:r>
        <w:rPr>
          <w:rStyle w:val="Aucun"/>
          <w:i w:val="1"/>
          <w:iCs w:val="1"/>
          <w:sz w:val="28"/>
          <w:szCs w:val="28"/>
          <w:rtl w:val="0"/>
        </w:rPr>
        <w:t>« </w:t>
      </w:r>
      <w:r>
        <w:rPr>
          <w:rStyle w:val="Aucun"/>
          <w:i w:val="1"/>
          <w:iCs w:val="1"/>
          <w:sz w:val="28"/>
          <w:szCs w:val="28"/>
          <w:rtl w:val="0"/>
        </w:rPr>
        <w:t>l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identit</w:t>
      </w:r>
      <w:r>
        <w:rPr>
          <w:rStyle w:val="Aucun"/>
          <w:i w:val="1"/>
          <w:iCs w:val="1"/>
          <w:sz w:val="28"/>
          <w:szCs w:val="28"/>
          <w:rtl w:val="0"/>
        </w:rPr>
        <w:t>é »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, il faudrait pouvoir sortir de la binarit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, et du </w:t>
      </w:r>
      <w:r>
        <w:rPr>
          <w:rStyle w:val="Aucun"/>
          <w:i w:val="1"/>
          <w:iCs w:val="1"/>
          <w:sz w:val="28"/>
          <w:szCs w:val="28"/>
          <w:rtl w:val="0"/>
        </w:rPr>
        <w:t>« 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soit l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</w:rPr>
        <w:t>un, soit l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autre</w:t>
      </w:r>
      <w:r>
        <w:rPr>
          <w:rStyle w:val="Aucun"/>
          <w:i w:val="1"/>
          <w:iCs w:val="1"/>
          <w:sz w:val="28"/>
          <w:szCs w:val="28"/>
          <w:rtl w:val="0"/>
        </w:rPr>
        <w:t> »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. Mais sortir de la binarit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</w:rPr>
        <w:t>, c</w:t>
      </w:r>
      <w:r>
        <w:rPr>
          <w:rStyle w:val="Aucun"/>
          <w:i w:val="1"/>
          <w:iCs w:val="1"/>
          <w:sz w:val="28"/>
          <w:szCs w:val="28"/>
          <w:rtl w:val="0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est un d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fi insurmontable</w:t>
      </w:r>
      <w:r>
        <w:rPr>
          <w:sz w:val="28"/>
          <w:szCs w:val="28"/>
          <w:rtl w:val="0"/>
          <w:lang w:val="fr-FR"/>
        </w:rPr>
        <w:t> </w:t>
      </w:r>
      <w:r>
        <w:rPr>
          <w:rStyle w:val="Aucun"/>
          <w:sz w:val="28"/>
          <w:szCs w:val="28"/>
          <w:vertAlign w:val="superscript"/>
        </w:rPr>
        <w:footnoteReference w:id="25"/>
      </w:r>
      <w:r>
        <w:rPr>
          <w:sz w:val="28"/>
          <w:szCs w:val="28"/>
          <w:rtl w:val="0"/>
          <w:lang w:val="fr-FR"/>
        </w:rPr>
        <w:t>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fr-FR"/>
        </w:rPr>
        <w:t xml:space="preserve"> Que dit-elle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autre, finalement, que le sujet est divis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, barr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, et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il s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agit, au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cours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une cure analytique,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accepter cette division et de ne pas s</w:t>
      </w:r>
      <w:r>
        <w:rPr>
          <w:sz w:val="28"/>
          <w:szCs w:val="28"/>
          <w:rtl w:val="0"/>
          <w:lang w:val="fr-FR"/>
        </w:rPr>
        <w:t>’é</w:t>
      </w:r>
      <w:r>
        <w:rPr>
          <w:sz w:val="28"/>
          <w:szCs w:val="28"/>
          <w:rtl w:val="0"/>
          <w:lang w:val="fr-FR"/>
        </w:rPr>
        <w:t xml:space="preserve">puiser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lutter contre elle.</w:t>
      </w:r>
    </w:p>
    <w:p>
      <w:pPr>
        <w:pStyle w:val="Corps"/>
        <w:ind w:firstLine="567"/>
        <w:jc w:val="both"/>
        <w:rPr>
          <w:rStyle w:val="Aucun"/>
          <w:i w:val="1"/>
          <w:iCs w:val="1"/>
          <w:sz w:val="28"/>
          <w:szCs w:val="28"/>
        </w:rPr>
      </w:pPr>
      <w:r>
        <w:rPr>
          <w:sz w:val="28"/>
          <w:szCs w:val="28"/>
          <w:rtl w:val="0"/>
          <w:lang w:val="fr-FR"/>
        </w:rPr>
        <w:t>Pour conclure, nous allons envisager cette question, tout le temps 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sente comme un fil conducteur dans notre propos. Qu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est-ce qui fait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rence? Y a-t-il une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rence qui pourrait 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tre essentialis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e comme l</w:t>
      </w:r>
      <w:r>
        <w:rPr>
          <w:sz w:val="28"/>
          <w:szCs w:val="28"/>
          <w:rtl w:val="0"/>
          <w:lang w:val="fr-FR"/>
        </w:rPr>
        <w:t>’é</w:t>
      </w:r>
      <w:r>
        <w:rPr>
          <w:sz w:val="28"/>
          <w:szCs w:val="28"/>
          <w:rtl w:val="0"/>
          <w:lang w:val="fr-FR"/>
        </w:rPr>
        <w:t>tait jusque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cemment la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rence des sexes? Le nombre d</w:t>
      </w:r>
      <w:r>
        <w:rPr>
          <w:sz w:val="28"/>
          <w:szCs w:val="28"/>
          <w:rtl w:val="0"/>
          <w:lang w:val="fr-FR"/>
        </w:rPr>
        <w:t>’é</w:t>
      </w:r>
      <w:r>
        <w:rPr>
          <w:sz w:val="28"/>
          <w:szCs w:val="28"/>
          <w:rtl w:val="0"/>
          <w:lang w:val="fr-FR"/>
        </w:rPr>
        <w:t>l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ments qui font des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rences entre les 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tres parlants est infini. Certains font des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rences plus importantes que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autres, on peut faire une petite liste,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videmment non exhaustive.  Comme: homme ou femme, la taille, la couleur de peau, le milieu social, la nationalit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, la culture dans tous les sens du terme, le v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cu propre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chacun, etc. Du point de vue plus proprement psychanalytique, retenons: le signifiant, le sujet, le fantasme, le sympt</w:t>
      </w:r>
      <w:r>
        <w:rPr>
          <w:sz w:val="28"/>
          <w:szCs w:val="28"/>
          <w:rtl w:val="0"/>
          <w:lang w:val="fr-FR"/>
        </w:rPr>
        <w:t>ô</w:t>
      </w:r>
      <w:r>
        <w:rPr>
          <w:sz w:val="28"/>
          <w:szCs w:val="28"/>
          <w:rtl w:val="0"/>
          <w:lang w:val="fr-FR"/>
        </w:rPr>
        <w:t>me comme le dit J.-A. Miller, la structure, le fait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avoir fait une analyse, le mode de jouissance etc. Finalement, on peut dire que rien ne fait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rence. Aucun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l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ment ne peut essentialiser une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rence entre les 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tres parlants. Si rien ne fait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rence, alors tout fait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rence, la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rence est un tout. Mais y a-t-il une n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cessit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th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orique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vouloir dire ce qui fait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rence? Vouloir cat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goriser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est-ce pas une fa</w:t>
      </w:r>
      <w:r>
        <w:rPr>
          <w:sz w:val="28"/>
          <w:szCs w:val="28"/>
          <w:rtl w:val="0"/>
          <w:lang w:val="fr-FR"/>
        </w:rPr>
        <w:t>ç</w:t>
      </w:r>
      <w:r>
        <w:rPr>
          <w:sz w:val="28"/>
          <w:szCs w:val="28"/>
          <w:rtl w:val="0"/>
          <w:lang w:val="fr-FR"/>
        </w:rPr>
        <w:t>on de nier, au sens du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ni ou du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saveu, la division du sujet. A savoir que la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rence essentielle est interne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chacun.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exp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rience de la cure analytique nous montre bien que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on ne peut pas 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 xml:space="preserve">tre identique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soi-m</w:t>
      </w:r>
      <w:r>
        <w:rPr>
          <w:sz w:val="28"/>
          <w:szCs w:val="28"/>
          <w:rtl w:val="0"/>
          <w:lang w:val="fr-FR"/>
        </w:rPr>
        <w:t>ê</w:t>
      </w:r>
      <w:r>
        <w:rPr>
          <w:sz w:val="28"/>
          <w:szCs w:val="28"/>
          <w:rtl w:val="0"/>
          <w:lang w:val="fr-FR"/>
        </w:rPr>
        <w:t>me, puisque la parole nous vient de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Autre. De vouloir cat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goriser,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tablir une diff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rence essentielle,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est-ce pas une tentative de donner un solution binaire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l</w:t>
      </w:r>
      <w:r>
        <w:rPr>
          <w:sz w:val="28"/>
          <w:szCs w:val="28"/>
          <w:rtl w:val="0"/>
          <w:lang w:val="fr-FR"/>
        </w:rPr>
        <w:t>’é</w:t>
      </w:r>
      <w:r>
        <w:rPr>
          <w:sz w:val="28"/>
          <w:szCs w:val="28"/>
          <w:rtl w:val="0"/>
          <w:lang w:val="fr-FR"/>
        </w:rPr>
        <w:t>nigme fondamentale: qui suis-je etc.?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inconscient 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est pas soumis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une logique binaire, qui est celle du langage cybern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tique fait de 0 et de 1. Alors, comme le dit Delphine Horvilleur: </w:t>
      </w:r>
      <w:r>
        <w:rPr>
          <w:sz w:val="28"/>
          <w:szCs w:val="28"/>
          <w:rtl w:val="0"/>
          <w:lang w:val="fr-FR"/>
        </w:rPr>
        <w:t xml:space="preserve">«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sortir de la binarit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, c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’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est un d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fi insurmontable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 </w:t>
      </w:r>
      <w:r>
        <w:rPr>
          <w:rStyle w:val="Aucun"/>
          <w:i w:val="1"/>
          <w:iCs w:val="1"/>
          <w:sz w:val="28"/>
          <w:szCs w:val="28"/>
          <w:vertAlign w:val="superscript"/>
        </w:rPr>
        <w:footnoteReference w:id="26"/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»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.</w:t>
      </w:r>
    </w:p>
    <w:p>
      <w:pPr>
        <w:pStyle w:val="Corps"/>
        <w:ind w:firstLine="567"/>
        <w:jc w:val="both"/>
        <w:rPr>
          <w:rStyle w:val="Aucun"/>
          <w:i w:val="1"/>
          <w:iCs w:val="1"/>
          <w:sz w:val="28"/>
          <w:szCs w:val="28"/>
        </w:rPr>
      </w:pPr>
    </w:p>
    <w:p>
      <w:pPr>
        <w:pStyle w:val="Corps"/>
        <w:ind w:firstLine="567"/>
        <w:jc w:val="both"/>
        <w:rPr>
          <w:rStyle w:val="Aucun"/>
          <w:i w:val="1"/>
          <w:iCs w:val="1"/>
          <w:sz w:val="28"/>
          <w:szCs w:val="28"/>
        </w:rPr>
      </w:pPr>
    </w:p>
    <w:p>
      <w:pPr>
        <w:pStyle w:val="Corps"/>
        <w:ind w:firstLine="567"/>
        <w:jc w:val="both"/>
        <w:rPr>
          <w:rStyle w:val="Aucun"/>
          <w:i w:val="1"/>
          <w:iCs w:val="1"/>
          <w:sz w:val="28"/>
          <w:szCs w:val="28"/>
        </w:rPr>
      </w:pPr>
    </w:p>
    <w:p>
      <w:pPr>
        <w:pStyle w:val="Corps"/>
        <w:ind w:firstLine="567"/>
        <w:jc w:val="both"/>
        <w:rPr>
          <w:rStyle w:val="Aucun"/>
          <w:i w:val="1"/>
          <w:iCs w:val="1"/>
          <w:sz w:val="28"/>
          <w:szCs w:val="28"/>
        </w:rPr>
      </w:pPr>
    </w:p>
    <w:p>
      <w:pPr>
        <w:pStyle w:val="Corps"/>
        <w:ind w:firstLine="567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Philippe Woloszko</w:t>
      </w:r>
    </w:p>
    <w:p>
      <w:pPr>
        <w:pStyle w:val="Corps"/>
        <w:ind w:firstLine="567"/>
        <w:jc w:val="right"/>
      </w:pPr>
      <w:r>
        <w:rPr>
          <w:sz w:val="28"/>
          <w:szCs w:val="28"/>
          <w:rtl w:val="0"/>
          <w:lang w:val="fr-FR"/>
        </w:rPr>
        <w:t>Metz, le 17 novembre 2022.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AC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e de pied de page"/>
        <w:bidi w:val="0"/>
      </w:pPr>
      <w:r>
        <w:rPr>
          <w:rStyle w:val="Aucun"/>
          <w:vertAlign w:val="superscript"/>
        </w:rPr>
        <w:footnoteRef/>
      </w:r>
      <w:r>
        <w:rPr>
          <w:rFonts w:cs="Arial Unicode MS" w:eastAsia="Arial Unicode MS"/>
          <w:rtl w:val="0"/>
          <w:lang w:val="fr-FR"/>
        </w:rPr>
        <w:t xml:space="preserve"> Paul Ric</w:t>
      </w:r>
      <w:r>
        <w:rPr>
          <w:rFonts w:cs="Arial Unicode MS" w:eastAsia="Arial Unicode MS" w:hint="default"/>
          <w:rtl w:val="0"/>
          <w:lang w:val="fr-FR"/>
        </w:rPr>
        <w:t>œ</w:t>
      </w:r>
      <w:r>
        <w:rPr>
          <w:rFonts w:cs="Arial Unicode MS" w:eastAsia="Arial Unicode MS"/>
          <w:rtl w:val="0"/>
          <w:lang w:val="fr-FR"/>
        </w:rPr>
        <w:t>ur.</w:t>
      </w:r>
      <w:r>
        <w:rPr>
          <w:rStyle w:val="Aucun"/>
          <w:rFonts w:cs="Arial Unicode MS" w:eastAsia="Arial Unicode MS"/>
          <w:i w:val="1"/>
          <w:iCs w:val="1"/>
          <w:rtl w:val="0"/>
          <w:lang w:val="fr-FR"/>
        </w:rPr>
        <w:t xml:space="preserve"> Soi-m</w:t>
      </w:r>
      <w:r>
        <w:rPr>
          <w:rStyle w:val="Aucun"/>
          <w:rFonts w:cs="Arial Unicode MS" w:eastAsia="Arial Unicode MS" w:hint="default"/>
          <w:i w:val="1"/>
          <w:iCs w:val="1"/>
          <w:rtl w:val="0"/>
          <w:lang w:val="fr-FR"/>
        </w:rPr>
        <w:t>ê</w:t>
      </w:r>
      <w:r>
        <w:rPr>
          <w:rStyle w:val="Aucun"/>
          <w:rFonts w:cs="Arial Unicode MS" w:eastAsia="Arial Unicode MS"/>
          <w:i w:val="1"/>
          <w:iCs w:val="1"/>
          <w:rtl w:val="0"/>
          <w:lang w:val="fr-FR"/>
        </w:rPr>
        <w:t xml:space="preserve">me comme un autre. </w:t>
      </w:r>
      <w:r>
        <w:rPr>
          <w:rFonts w:cs="Arial Unicode MS" w:eastAsia="Arial Unicode MS"/>
          <w:rtl w:val="0"/>
          <w:lang w:val="fr-FR"/>
        </w:rPr>
        <w:t>Seuil. Points Essais. 1990.</w:t>
      </w:r>
    </w:p>
  </w:footnote>
  <w:footnote w:id="2">
    <w:p>
      <w:pPr>
        <w:pStyle w:val="Note de pied de page"/>
        <w:bidi w:val="0"/>
      </w:pPr>
      <w:r>
        <w:rPr>
          <w:rStyle w:val="Aucun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 xml:space="preserve"> Ibid. P 368.</w:t>
      </w:r>
    </w:p>
  </w:footnote>
  <w:footnote w:id="3">
    <w:p>
      <w:pPr>
        <w:pStyle w:val="Note de pied de page"/>
        <w:bidi w:val="0"/>
      </w:pPr>
      <w:r>
        <w:rPr>
          <w:rStyle w:val="Aucun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>Ibid. P 375.</w:t>
      </w:r>
    </w:p>
  </w:footnote>
  <w:footnote w:id="4">
    <w:p>
      <w:pPr>
        <w:pStyle w:val="Note de pied de page"/>
      </w:pPr>
      <w:r>
        <w:rPr>
          <w:rStyle w:val="Aucun"/>
          <w:vertAlign w:val="superscript"/>
        </w:rPr>
        <w:footnoteRef/>
      </w:r>
      <w:r>
        <w:rPr>
          <w:rtl w:val="0"/>
        </w:rPr>
        <w:t>J. Lacan.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minaire XIX. </w:t>
      </w:r>
      <w:r>
        <w:rPr>
          <w:rtl w:val="0"/>
        </w:rPr>
        <w:t>…</w:t>
      </w:r>
      <w:r>
        <w:rPr>
          <w:rtl w:val="0"/>
          <w:lang w:val="fr-FR"/>
        </w:rPr>
        <w:t>ou pire.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ance du </w:t>
      </w:r>
      <w:r>
        <w:rPr>
          <w:rtl w:val="0"/>
          <w:lang w:val="fr-FR"/>
        </w:rPr>
        <w:t>2</w:t>
      </w:r>
      <w:r>
        <w:rPr>
          <w:rtl w:val="0"/>
        </w:rPr>
        <w:t xml:space="preserve"> d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cembre 1971. Version Valas.</w:t>
      </w:r>
      <w:r>
        <w:rPr>
          <w:rtl w:val="0"/>
          <w:lang w:val="fr-FR"/>
        </w:rPr>
        <w:t xml:space="preserve"> P 44.</w:t>
      </w:r>
    </w:p>
  </w:footnote>
  <w:footnote w:id="5">
    <w:p>
      <w:pPr>
        <w:pStyle w:val="Note de pied de page"/>
        <w:bidi w:val="0"/>
      </w:pPr>
      <w:r>
        <w:rPr>
          <w:rStyle w:val="Aucun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 xml:space="preserve">Paul </w:t>
      </w:r>
      <w:r>
        <w:rPr>
          <w:rFonts w:cs="Arial Unicode MS" w:eastAsia="Arial Unicode MS"/>
          <w:rtl w:val="0"/>
          <w:lang w:val="de-DE"/>
        </w:rPr>
        <w:t>Ric</w:t>
      </w:r>
      <w:r>
        <w:rPr>
          <w:rFonts w:cs="Arial Unicode MS" w:eastAsia="Arial Unicode MS" w:hint="default"/>
          <w:rtl w:val="0"/>
          <w:lang w:val="fr-FR"/>
        </w:rPr>
        <w:t>œ</w:t>
      </w:r>
      <w:r>
        <w:rPr>
          <w:rFonts w:cs="Arial Unicode MS" w:eastAsia="Arial Unicode MS"/>
          <w:rtl w:val="0"/>
        </w:rPr>
        <w:t>ur</w:t>
      </w:r>
      <w:r>
        <w:rPr>
          <w:rFonts w:cs="Arial Unicode MS" w:eastAsia="Arial Unicode MS"/>
          <w:rtl w:val="0"/>
          <w:lang w:val="fr-FR"/>
        </w:rPr>
        <w:t>. Op. Cit. P 374.</w:t>
      </w:r>
    </w:p>
  </w:footnote>
  <w:footnote w:id="6">
    <w:p>
      <w:pPr>
        <w:pStyle w:val="Note de pied de page"/>
        <w:bidi w:val="0"/>
      </w:pPr>
      <w:r>
        <w:rPr>
          <w:rStyle w:val="Aucun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>Ibid. P 369.</w:t>
      </w:r>
    </w:p>
  </w:footnote>
  <w:footnote w:id="7">
    <w:p>
      <w:pPr>
        <w:pStyle w:val="Note de pied de page"/>
        <w:bidi w:val="0"/>
      </w:pPr>
      <w:r>
        <w:rPr>
          <w:rStyle w:val="Aucun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>Ibid. P 375.</w:t>
      </w:r>
    </w:p>
  </w:footnote>
  <w:footnote w:id="8">
    <w:p>
      <w:pPr>
        <w:pStyle w:val="Note de pied de page"/>
        <w:bidi w:val="0"/>
      </w:pPr>
      <w:r>
        <w:rPr>
          <w:rStyle w:val="Aucun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 xml:space="preserve"> J. Lacan. </w:t>
      </w:r>
      <w:r>
        <w:rPr>
          <w:rStyle w:val="Aucun"/>
          <w:rFonts w:cs="Arial Unicode MS" w:eastAsia="Arial Unicode MS"/>
          <w:i w:val="1"/>
          <w:iCs w:val="1"/>
          <w:rtl w:val="0"/>
          <w:lang w:val="fr-FR"/>
        </w:rPr>
        <w:t>Subversion du sujet et dialectique du d</w:t>
      </w:r>
      <w:r>
        <w:rPr>
          <w:rStyle w:val="Aucun"/>
          <w:rFonts w:cs="Arial Unicode MS" w:eastAsia="Arial Unicode MS" w:hint="default"/>
          <w:i w:val="1"/>
          <w:iCs w:val="1"/>
          <w:rtl w:val="0"/>
          <w:lang w:val="fr-FR"/>
        </w:rPr>
        <w:t>é</w:t>
      </w:r>
      <w:r>
        <w:rPr>
          <w:rStyle w:val="Aucun"/>
          <w:rFonts w:cs="Arial Unicode MS" w:eastAsia="Arial Unicode MS"/>
          <w:i w:val="1"/>
          <w:iCs w:val="1"/>
          <w:rtl w:val="0"/>
          <w:lang w:val="fr-FR"/>
        </w:rPr>
        <w:t>sir dans l</w:t>
      </w:r>
      <w:r>
        <w:rPr>
          <w:rStyle w:val="Aucun"/>
          <w:rFonts w:cs="Arial Unicode MS" w:eastAsia="Arial Unicode MS" w:hint="default"/>
          <w:i w:val="1"/>
          <w:iCs w:val="1"/>
          <w:rtl w:val="0"/>
          <w:lang w:val="fr-FR"/>
        </w:rPr>
        <w:t>’</w:t>
      </w:r>
      <w:r>
        <w:rPr>
          <w:rStyle w:val="Aucun"/>
          <w:rFonts w:cs="Arial Unicode MS" w:eastAsia="Arial Unicode MS"/>
          <w:i w:val="1"/>
          <w:iCs w:val="1"/>
          <w:rtl w:val="0"/>
          <w:lang w:val="fr-FR"/>
        </w:rPr>
        <w:t xml:space="preserve">inconscient freudien. </w:t>
      </w:r>
      <w:r>
        <w:rPr>
          <w:rFonts w:cs="Arial Unicode MS" w:eastAsia="Arial Unicode MS"/>
          <w:rtl w:val="0"/>
          <w:lang w:val="fr-FR"/>
        </w:rPr>
        <w:t>Le seuil. Paris. 1966.</w:t>
      </w:r>
    </w:p>
  </w:footnote>
  <w:footnote w:id="9">
    <w:p>
      <w:pPr>
        <w:pStyle w:val="Note de pied de page"/>
        <w:jc w:val="both"/>
      </w:pPr>
      <w:r>
        <w:rPr>
          <w:rStyle w:val="Aucun"/>
          <w:vertAlign w:val="superscript"/>
        </w:rPr>
        <w:footnoteRef/>
      </w:r>
      <w:r>
        <w:rPr>
          <w:rtl w:val="0"/>
        </w:rPr>
        <w:t xml:space="preserve"> </w:t>
      </w:r>
      <w:r>
        <w:rPr>
          <w:rtl w:val="0"/>
          <w:lang w:val="fr-FR"/>
        </w:rPr>
        <w:t xml:space="preserve"> Op. Cit. P 819.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Pour nous, nous partirons de ce que le sigle S(</w:t>
      </w:r>
      <w:r>
        <w:rPr>
          <w:rStyle w:val="Aucun"/>
          <w:rFonts w:ascii="LACAN" w:hAnsi="LACAN"/>
          <w:rtl w:val="0"/>
          <w:lang w:val="fr-FR"/>
        </w:rPr>
        <w:t>A</w:t>
      </w:r>
      <w:r>
        <w:rPr>
          <w:rtl w:val="0"/>
          <w:lang w:val="fr-FR"/>
        </w:rPr>
        <w:t>) articule, d'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d'abord un signifiant. Notre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finition du signifiant (il n'y en a pas d'autre) est: un signifiant, c'est ce qui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 le sujet pour un autre signifiant. Ce signifiant sera donc le signifiant pour quoi tous les autres signifiants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sentent le sujet: c'est dire que faute de ce signifiant, tous les autres ne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senteraient rien. Puisque rien n'est repr</w:t>
      </w:r>
      <w:r>
        <w:rPr>
          <w:rtl w:val="0"/>
          <w:lang w:val="fr-FR"/>
        </w:rPr>
        <w:t>é</w:t>
      </w:r>
      <w:r>
        <w:rPr>
          <w:rtl w:val="0"/>
        </w:rPr>
        <w:t>sent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que pour.</w:t>
      </w:r>
    </w:p>
    <w:p>
      <w:pPr>
        <w:pStyle w:val="Corps"/>
        <w:jc w:val="both"/>
      </w:pPr>
      <w:r>
        <w:rPr>
          <w:rtl w:val="0"/>
          <w:lang w:val="fr-FR"/>
        </w:rPr>
        <w:t xml:space="preserve">Or la batterie des signifiants, en tant qu'elle est,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tant par l</w:t>
      </w:r>
      <w:r>
        <w:rPr>
          <w:rtl w:val="0"/>
          <w:lang w:val="fr-FR"/>
        </w:rPr>
        <w:t xml:space="preserve">à </w:t>
      </w:r>
      <w:r>
        <w:rPr>
          <w:rtl w:val="0"/>
        </w:rPr>
        <w:t>m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me compl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te, ce signifiant ne peut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tre qu'un trait qui se trace de son cercle sans pouvoir y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compt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Symbolisable par l'inh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rence d'un (</w:t>
      </w:r>
      <w:r>
        <w:rPr>
          <w:rtl w:val="0"/>
          <w:lang w:val="en-US"/>
        </w:rPr>
        <w:t>—</w:t>
      </w:r>
      <w:r>
        <w:rPr>
          <w:rtl w:val="0"/>
          <w:lang w:val="fr-FR"/>
        </w:rPr>
        <w:t>1</w:t>
      </w:r>
      <w:r>
        <w:rPr>
          <w:rtl w:val="0"/>
        </w:rPr>
        <w:t xml:space="preserve">)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l'ensemble des signifiants.</w:t>
      </w:r>
    </w:p>
    <w:p>
      <w:pPr>
        <w:pStyle w:val="Corps"/>
        <w:jc w:val="both"/>
      </w:pPr>
      <w:r>
        <w:rPr>
          <w:rtl w:val="0"/>
          <w:lang w:val="fr-FR"/>
        </w:rPr>
        <w:t>Il est comme tel impronon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>able, mais non pas son 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ration, car elle est ce qui se produit chaque fois qu'un nom propre est prononc</w:t>
      </w:r>
      <w:r>
        <w:rPr>
          <w:rtl w:val="0"/>
          <w:lang w:val="fr-FR"/>
        </w:rPr>
        <w:t>é</w:t>
      </w:r>
      <w:r>
        <w:rPr>
          <w:rtl w:val="0"/>
        </w:rPr>
        <w:t xml:space="preserve">. Son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nonc</w:t>
      </w:r>
      <w:r>
        <w:rPr>
          <w:rtl w:val="0"/>
          <w:lang w:val="fr-FR"/>
        </w:rPr>
        <w:t xml:space="preserve">é </w:t>
      </w:r>
      <w:r>
        <w:rPr>
          <w:rtl w:val="0"/>
        </w:rPr>
        <w:t>s'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gale 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sa signification.</w:t>
      </w:r>
      <w:r>
        <w:rPr>
          <w:rtl w:val="0"/>
          <w:lang w:val="fr-FR"/>
        </w:rPr>
        <w:t xml:space="preserve"> (..) </w:t>
      </w:r>
      <w:r>
        <w:rPr>
          <w:rtl w:val="0"/>
          <w:lang w:val="fr-FR"/>
        </w:rPr>
        <w:t xml:space="preserve">C'est ce qui manque au sujet pour se penser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puis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 xml:space="preserve">par son cogito,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savoir ce qu'il est d'impensable.</w:t>
      </w:r>
    </w:p>
  </w:footnote>
  <w:footnote w:id="10">
    <w:p>
      <w:pPr>
        <w:pStyle w:val="Note de pied de page"/>
        <w:bidi w:val="0"/>
      </w:pPr>
      <w:r>
        <w:rPr>
          <w:rStyle w:val="Aucun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>Ibid. P 814.</w:t>
      </w:r>
    </w:p>
  </w:footnote>
  <w:footnote w:id="11">
    <w:p>
      <w:pPr>
        <w:pStyle w:val="Note de pied de page"/>
        <w:bidi w:val="0"/>
      </w:pPr>
      <w:r>
        <w:rPr>
          <w:rStyle w:val="Aucun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>Ibid.</w:t>
      </w:r>
    </w:p>
  </w:footnote>
  <w:footnote w:id="12">
    <w:p>
      <w:pPr>
        <w:pStyle w:val="Note de pied de page"/>
        <w:bidi w:val="0"/>
      </w:pPr>
      <w:r>
        <w:rPr>
          <w:rStyle w:val="Aucun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>Op. Cit. P245.</w:t>
      </w:r>
    </w:p>
  </w:footnote>
  <w:footnote w:id="13">
    <w:p>
      <w:pPr>
        <w:pStyle w:val="Note de pied de page"/>
        <w:bidi w:val="0"/>
      </w:pPr>
      <w:r>
        <w:rPr>
          <w:rStyle w:val="Aucun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>Ibid. P 246.</w:t>
      </w:r>
    </w:p>
  </w:footnote>
  <w:footnote w:id="14">
    <w:p>
      <w:pPr>
        <w:pStyle w:val="Note de pied de page"/>
        <w:bidi w:val="0"/>
      </w:pPr>
      <w:r>
        <w:rPr>
          <w:rStyle w:val="Aucun"/>
          <w:vertAlign w:val="superscript"/>
        </w:rPr>
        <w:footnoteRef/>
      </w:r>
      <w:r>
        <w:rPr>
          <w:rFonts w:cs="Arial Unicode MS" w:eastAsia="Arial Unicode MS"/>
          <w:rtl w:val="0"/>
          <w:lang w:val="fr-FR"/>
        </w:rPr>
        <w:t xml:space="preserve"> Cl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ment Rosset. </w:t>
      </w:r>
      <w:r>
        <w:rPr>
          <w:rStyle w:val="Aucun"/>
          <w:rFonts w:cs="Arial Unicode MS" w:eastAsia="Arial Unicode MS"/>
          <w:i w:val="1"/>
          <w:iCs w:val="1"/>
          <w:rtl w:val="0"/>
          <w:lang w:val="fr-FR"/>
        </w:rPr>
        <w:t>Loin de moi. Etude sur l</w:t>
      </w:r>
      <w:r>
        <w:rPr>
          <w:rStyle w:val="Aucun"/>
          <w:rFonts w:cs="Arial Unicode MS" w:eastAsia="Arial Unicode MS" w:hint="default"/>
          <w:i w:val="1"/>
          <w:iCs w:val="1"/>
          <w:rtl w:val="0"/>
          <w:lang w:val="fr-FR"/>
        </w:rPr>
        <w:t>’</w:t>
      </w:r>
      <w:r>
        <w:rPr>
          <w:rStyle w:val="Aucun"/>
          <w:rFonts w:cs="Arial Unicode MS" w:eastAsia="Arial Unicode MS"/>
          <w:i w:val="1"/>
          <w:iCs w:val="1"/>
          <w:rtl w:val="0"/>
          <w:lang w:val="fr-FR"/>
        </w:rPr>
        <w:t>identit</w:t>
      </w:r>
      <w:r>
        <w:rPr>
          <w:rStyle w:val="Aucun"/>
          <w:rFonts w:cs="Arial Unicode MS" w:eastAsia="Arial Unicode MS" w:hint="default"/>
          <w:i w:val="1"/>
          <w:iCs w:val="1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. Les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ditions de minuit.1999.</w:t>
      </w:r>
    </w:p>
  </w:footnote>
  <w:footnote w:id="15">
    <w:p>
      <w:pPr>
        <w:pStyle w:val="Note de pied de page"/>
        <w:bidi w:val="0"/>
      </w:pPr>
      <w:r>
        <w:rPr>
          <w:rStyle w:val="Aucun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>Op. Cit. P 11.</w:t>
      </w:r>
    </w:p>
  </w:footnote>
  <w:footnote w:id="16">
    <w:p>
      <w:pPr>
        <w:pStyle w:val="Note de pied de page"/>
        <w:bidi w:val="0"/>
      </w:pPr>
      <w:r>
        <w:rPr>
          <w:rStyle w:val="Aucun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>Op. Cit. P 12.</w:t>
      </w:r>
    </w:p>
  </w:footnote>
  <w:footnote w:id="17">
    <w:p>
      <w:pPr>
        <w:pStyle w:val="Note de pied de page"/>
        <w:bidi w:val="0"/>
      </w:pPr>
      <w:r>
        <w:rPr>
          <w:rStyle w:val="Aucun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>Ibid.</w:t>
      </w:r>
    </w:p>
  </w:footnote>
  <w:footnote w:id="18">
    <w:p>
      <w:pPr>
        <w:pStyle w:val="Note de pied de page"/>
        <w:bidi w:val="0"/>
      </w:pPr>
      <w:r>
        <w:rPr>
          <w:rStyle w:val="Aucun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>Ibid. P 41.</w:t>
      </w:r>
    </w:p>
  </w:footnote>
  <w:footnote w:id="19">
    <w:p>
      <w:pPr>
        <w:pStyle w:val="Note de pied de page"/>
        <w:bidi w:val="0"/>
      </w:pPr>
      <w:r>
        <w:rPr>
          <w:rStyle w:val="Aucun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>Ibid. P 31.</w:t>
      </w:r>
    </w:p>
  </w:footnote>
  <w:footnote w:id="20">
    <w:p>
      <w:pPr>
        <w:pStyle w:val="Note de pied de page"/>
        <w:bidi w:val="0"/>
      </w:pPr>
      <w:r>
        <w:rPr>
          <w:rStyle w:val="Aucun"/>
          <w:vertAlign w:val="superscript"/>
        </w:rPr>
        <w:footnoteRef/>
      </w:r>
      <w:r>
        <w:rPr>
          <w:rStyle w:val="Aucun"/>
          <w:rFonts w:cs="Arial Unicode MS" w:eastAsia="Arial Unicode MS"/>
          <w:b w:val="1"/>
          <w:bCs w:val="1"/>
          <w:rtl w:val="0"/>
          <w:lang w:val="fr-FR"/>
        </w:rPr>
        <w:t xml:space="preserve"> </w:t>
      </w:r>
      <w:r>
        <w:rPr>
          <w:rFonts w:cs="Arial Unicode MS" w:eastAsia="Arial Unicode MS"/>
          <w:rtl w:val="0"/>
          <w:lang w:val="fr-FR"/>
        </w:rPr>
        <w:t xml:space="preserve">Delphine Horvilleur. </w:t>
      </w:r>
      <w:r>
        <w:rPr>
          <w:rStyle w:val="Aucun"/>
          <w:rFonts w:cs="Arial Unicode MS" w:eastAsia="Arial Unicode MS"/>
          <w:i w:val="1"/>
          <w:iCs w:val="1"/>
          <w:rtl w:val="0"/>
          <w:lang w:val="fr-FR"/>
        </w:rPr>
        <w:t>Il n</w:t>
      </w:r>
      <w:r>
        <w:rPr>
          <w:rStyle w:val="Aucun"/>
          <w:rFonts w:cs="Arial Unicode MS" w:eastAsia="Arial Unicode MS" w:hint="default"/>
          <w:i w:val="1"/>
          <w:iCs w:val="1"/>
          <w:rtl w:val="0"/>
          <w:lang w:val="fr-FR"/>
        </w:rPr>
        <w:t>’</w:t>
      </w:r>
      <w:r>
        <w:rPr>
          <w:rStyle w:val="Aucun"/>
          <w:rFonts w:cs="Arial Unicode MS" w:eastAsia="Arial Unicode MS"/>
          <w:i w:val="1"/>
          <w:iCs w:val="1"/>
          <w:rtl w:val="0"/>
          <w:lang w:val="fr-FR"/>
        </w:rPr>
        <w:t>y a pas de Ajar</w:t>
      </w:r>
      <w:r>
        <w:rPr>
          <w:rFonts w:cs="Arial Unicode MS" w:eastAsia="Arial Unicode MS"/>
          <w:rtl w:val="0"/>
          <w:lang w:val="fr-FR"/>
        </w:rPr>
        <w:t>. Grasset. Paris. 2022.</w:t>
      </w:r>
    </w:p>
  </w:footnote>
  <w:footnote w:id="21">
    <w:p>
      <w:pPr>
        <w:pStyle w:val="Note de pied de page"/>
        <w:bidi w:val="0"/>
      </w:pPr>
      <w:r>
        <w:rPr>
          <w:rStyle w:val="Aucun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>Op. Cit. P17-18.</w:t>
      </w:r>
    </w:p>
  </w:footnote>
  <w:footnote w:id="22">
    <w:p>
      <w:pPr>
        <w:pStyle w:val="Note de pied de page"/>
        <w:bidi w:val="0"/>
      </w:pPr>
      <w:r>
        <w:rPr>
          <w:rStyle w:val="Aucun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>Ibid. P 19.</w:t>
      </w:r>
    </w:p>
  </w:footnote>
  <w:footnote w:id="23">
    <w:p>
      <w:pPr>
        <w:pStyle w:val="Note de pied de page"/>
        <w:bidi w:val="0"/>
      </w:pPr>
      <w:r>
        <w:rPr>
          <w:rStyle w:val="Aucun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>Ibid. P 20.</w:t>
      </w:r>
    </w:p>
  </w:footnote>
  <w:footnote w:id="24">
    <w:p>
      <w:pPr>
        <w:pStyle w:val="Note de pied de page"/>
        <w:bidi w:val="0"/>
      </w:pPr>
      <w:r>
        <w:rPr>
          <w:rStyle w:val="Aucun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>Ibid. P 49.</w:t>
      </w:r>
    </w:p>
  </w:footnote>
  <w:footnote w:id="25">
    <w:p>
      <w:pPr>
        <w:pStyle w:val="Note de pied de page"/>
        <w:bidi w:val="0"/>
      </w:pPr>
      <w:r>
        <w:rPr>
          <w:rStyle w:val="Aucun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>Ibid. P 73-74.</w:t>
      </w:r>
    </w:p>
  </w:footnote>
  <w:footnote w:id="26">
    <w:p>
      <w:pPr>
        <w:pStyle w:val="Note de pied de page"/>
        <w:bidi w:val="0"/>
      </w:pPr>
      <w:r>
        <w:rPr>
          <w:rStyle w:val="Aucun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>Ibid.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Note de pied de page">
    <w:name w:val="Note de pied de page"/>
    <w:next w:val="Note de pied de pag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